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56" w:rsidRPr="00995DE0" w:rsidRDefault="00EB415F" w:rsidP="00EB415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95DE0">
        <w:rPr>
          <w:b/>
          <w:sz w:val="28"/>
          <w:szCs w:val="28"/>
        </w:rPr>
        <w:t>ИТОГИ</w:t>
      </w:r>
    </w:p>
    <w:p w:rsidR="00883FDF" w:rsidRPr="00995DE0" w:rsidRDefault="00EB415F" w:rsidP="00EB415F">
      <w:pPr>
        <w:jc w:val="center"/>
        <w:rPr>
          <w:b/>
          <w:sz w:val="28"/>
          <w:szCs w:val="28"/>
        </w:rPr>
      </w:pPr>
      <w:r w:rsidRPr="00995DE0">
        <w:rPr>
          <w:b/>
          <w:sz w:val="28"/>
          <w:szCs w:val="28"/>
        </w:rPr>
        <w:t xml:space="preserve">СОЦИАЛЬНО-ЭКОНОМИЧЕСКОГО РАЗВИТИЯ ВАЛДАЙСКОГО </w:t>
      </w:r>
      <w:r w:rsidR="00017532" w:rsidRPr="00995DE0">
        <w:rPr>
          <w:b/>
          <w:sz w:val="28"/>
          <w:szCs w:val="28"/>
        </w:rPr>
        <w:tab/>
        <w:t xml:space="preserve">МУНИЦИПАЛЬНОГО </w:t>
      </w:r>
      <w:r w:rsidRPr="00995DE0">
        <w:rPr>
          <w:b/>
          <w:sz w:val="28"/>
          <w:szCs w:val="28"/>
        </w:rPr>
        <w:t xml:space="preserve">РАЙОНА ЗА </w:t>
      </w:r>
      <w:r w:rsidR="00762A1B" w:rsidRPr="00995DE0">
        <w:rPr>
          <w:b/>
          <w:sz w:val="28"/>
          <w:szCs w:val="28"/>
        </w:rPr>
        <w:t xml:space="preserve"> 201</w:t>
      </w:r>
      <w:r w:rsidR="00E41490" w:rsidRPr="00995DE0">
        <w:rPr>
          <w:b/>
          <w:sz w:val="28"/>
          <w:szCs w:val="28"/>
        </w:rPr>
        <w:t>2</w:t>
      </w:r>
      <w:r w:rsidRPr="00995DE0">
        <w:rPr>
          <w:b/>
          <w:sz w:val="28"/>
          <w:szCs w:val="28"/>
        </w:rPr>
        <w:t xml:space="preserve"> </w:t>
      </w:r>
      <w:r w:rsidR="00762A1B" w:rsidRPr="00995DE0">
        <w:rPr>
          <w:b/>
          <w:sz w:val="28"/>
          <w:szCs w:val="28"/>
        </w:rPr>
        <w:t>г</w:t>
      </w:r>
      <w:r w:rsidR="00762A1B" w:rsidRPr="00995DE0">
        <w:rPr>
          <w:b/>
          <w:sz w:val="28"/>
          <w:szCs w:val="28"/>
        </w:rPr>
        <w:t>о</w:t>
      </w:r>
      <w:r w:rsidR="00762A1B" w:rsidRPr="00995DE0">
        <w:rPr>
          <w:b/>
          <w:sz w:val="28"/>
          <w:szCs w:val="28"/>
        </w:rPr>
        <w:t>д.</w:t>
      </w:r>
    </w:p>
    <w:p w:rsidR="00762A1B" w:rsidRPr="00995DE0" w:rsidRDefault="00762A1B" w:rsidP="00EB415F">
      <w:pPr>
        <w:jc w:val="center"/>
      </w:pPr>
    </w:p>
    <w:p w:rsidR="00883FDF" w:rsidRPr="00995DE0" w:rsidRDefault="00883FDF" w:rsidP="004B234B">
      <w:pPr>
        <w:jc w:val="both"/>
      </w:pPr>
      <w:r w:rsidRPr="00995DE0">
        <w:tab/>
      </w:r>
      <w:r w:rsidR="00261C65" w:rsidRPr="00995DE0">
        <w:t>Подводя итоги реализации основных направлений социально-экономического ра</w:t>
      </w:r>
      <w:r w:rsidR="00261C65" w:rsidRPr="00995DE0">
        <w:t>з</w:t>
      </w:r>
      <w:r w:rsidR="00261C65" w:rsidRPr="00995DE0">
        <w:t>вития муниципального района за  2012 год, необходимо отметить, что главной задачей нашей совместной работы является обеспечение стабильного функционирования ра</w:t>
      </w:r>
      <w:r w:rsidR="00261C65" w:rsidRPr="00995DE0">
        <w:t>й</w:t>
      </w:r>
      <w:r w:rsidR="00261C65" w:rsidRPr="00995DE0">
        <w:t>она и улучшения качества уровня жизни населения.</w:t>
      </w:r>
    </w:p>
    <w:p w:rsidR="00261C65" w:rsidRPr="00995DE0" w:rsidRDefault="00261C65" w:rsidP="004B234B">
      <w:pPr>
        <w:jc w:val="both"/>
      </w:pPr>
      <w:r w:rsidRPr="00995DE0">
        <w:tab/>
        <w:t>Первоочередными задачами органов исполнительной власти района по созданию условий финансовой и инвестиционной активности являются: эффективное управление общественными финансами, рост качества и условий предоставления услуг, создание условий и стимулов для развития человеческого капитала, обеспечение доступности соц</w:t>
      </w:r>
      <w:r w:rsidRPr="00995DE0">
        <w:t>и</w:t>
      </w:r>
      <w:r w:rsidRPr="00995DE0">
        <w:t>альной инфраструктуры для широких слоёв населения.</w:t>
      </w:r>
    </w:p>
    <w:p w:rsidR="00762A1B" w:rsidRPr="00995DE0" w:rsidRDefault="00762A1B" w:rsidP="00AB2B60">
      <w:pPr>
        <w:jc w:val="center"/>
        <w:rPr>
          <w:b/>
          <w:sz w:val="28"/>
          <w:szCs w:val="28"/>
        </w:rPr>
      </w:pPr>
    </w:p>
    <w:p w:rsidR="00AB2B60" w:rsidRPr="00995DE0" w:rsidRDefault="00AB2B60" w:rsidP="00AB2B60">
      <w:pPr>
        <w:jc w:val="center"/>
        <w:rPr>
          <w:b/>
          <w:sz w:val="28"/>
          <w:szCs w:val="28"/>
        </w:rPr>
      </w:pPr>
      <w:r w:rsidRPr="00995DE0">
        <w:rPr>
          <w:b/>
          <w:sz w:val="28"/>
          <w:szCs w:val="28"/>
        </w:rPr>
        <w:t>С</w:t>
      </w:r>
      <w:r w:rsidR="00D93937" w:rsidRPr="00995DE0">
        <w:rPr>
          <w:b/>
          <w:sz w:val="28"/>
          <w:szCs w:val="28"/>
        </w:rPr>
        <w:t>ОЦИАЛЬНАЯ СФЕРА</w:t>
      </w:r>
      <w:r w:rsidRPr="00995DE0">
        <w:rPr>
          <w:b/>
          <w:sz w:val="28"/>
          <w:szCs w:val="28"/>
        </w:rPr>
        <w:t>.</w:t>
      </w:r>
    </w:p>
    <w:p w:rsidR="00AB2B60" w:rsidRPr="00995DE0" w:rsidRDefault="00AB2B60" w:rsidP="00AB2B60">
      <w:pPr>
        <w:rPr>
          <w:b/>
        </w:rPr>
      </w:pPr>
    </w:p>
    <w:p w:rsidR="00AB2B60" w:rsidRPr="00995DE0" w:rsidRDefault="00AB2B60" w:rsidP="004B234B">
      <w:pPr>
        <w:jc w:val="both"/>
      </w:pPr>
      <w:r w:rsidRPr="00995DE0">
        <w:rPr>
          <w:b/>
        </w:rPr>
        <w:tab/>
      </w:r>
      <w:r w:rsidRPr="00995DE0">
        <w:t>Население Валдайского муниципального района</w:t>
      </w:r>
      <w:r w:rsidR="00DB222B" w:rsidRPr="00995DE0">
        <w:t xml:space="preserve"> на начало 201</w:t>
      </w:r>
      <w:r w:rsidR="00B67094" w:rsidRPr="00995DE0">
        <w:t>2</w:t>
      </w:r>
      <w:r w:rsidR="00DB222B" w:rsidRPr="00995DE0">
        <w:t xml:space="preserve">года </w:t>
      </w:r>
      <w:r w:rsidRPr="00995DE0">
        <w:t>составляет 2</w:t>
      </w:r>
      <w:r w:rsidR="00E248E9" w:rsidRPr="00995DE0">
        <w:t>5564 человек, и</w:t>
      </w:r>
      <w:r w:rsidRPr="00995DE0">
        <w:t xml:space="preserve">з них граждан трудоспособного возраста </w:t>
      </w:r>
      <w:r w:rsidR="00336EFE" w:rsidRPr="00995DE0">
        <w:t>59,5</w:t>
      </w:r>
      <w:r w:rsidRPr="00995DE0">
        <w:t xml:space="preserve"> %, пенсионеров</w:t>
      </w:r>
      <w:r w:rsidR="00336EFE" w:rsidRPr="00995DE0">
        <w:t xml:space="preserve"> 25,6 </w:t>
      </w:r>
      <w:r w:rsidRPr="00995DE0">
        <w:t>%</w:t>
      </w:r>
      <w:r w:rsidR="00336EFE" w:rsidRPr="00995DE0">
        <w:t>, д</w:t>
      </w:r>
      <w:r w:rsidR="00336EFE" w:rsidRPr="00995DE0">
        <w:t>е</w:t>
      </w:r>
      <w:r w:rsidR="00336EFE" w:rsidRPr="00995DE0">
        <w:t>тей до 15 лет 14,9 %</w:t>
      </w:r>
      <w:r w:rsidR="00E248E9" w:rsidRPr="00995DE0">
        <w:t xml:space="preserve">. </w:t>
      </w:r>
      <w:r w:rsidR="00BD1454" w:rsidRPr="00995DE0">
        <w:t>Занято в различных о</w:t>
      </w:r>
      <w:r w:rsidR="00BD1454" w:rsidRPr="00995DE0">
        <w:t>т</w:t>
      </w:r>
      <w:r w:rsidR="00BD1454" w:rsidRPr="00995DE0">
        <w:t xml:space="preserve">раслях экономики </w:t>
      </w:r>
      <w:r w:rsidR="00B67094" w:rsidRPr="00995DE0">
        <w:t xml:space="preserve">около </w:t>
      </w:r>
      <w:r w:rsidR="00BD1454" w:rsidRPr="00995DE0">
        <w:t>10 тыс.чел.</w:t>
      </w:r>
    </w:p>
    <w:p w:rsidR="003B6E48" w:rsidRPr="00995DE0" w:rsidRDefault="003B6E48" w:rsidP="004B234B">
      <w:pPr>
        <w:jc w:val="both"/>
      </w:pPr>
    </w:p>
    <w:p w:rsidR="00EC02A0" w:rsidRPr="00995DE0" w:rsidRDefault="00EC02A0" w:rsidP="00EC02A0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95DE0">
        <w:rPr>
          <w:sz w:val="28"/>
          <w:szCs w:val="28"/>
        </w:rPr>
        <w:t xml:space="preserve"> </w:t>
      </w:r>
      <w:r w:rsidRPr="00995DE0">
        <w:rPr>
          <w:b/>
          <w:sz w:val="28"/>
          <w:szCs w:val="28"/>
        </w:rPr>
        <w:t>Динамика численности населения района</w:t>
      </w:r>
    </w:p>
    <w:p w:rsidR="00EC02A0" w:rsidRPr="00995DE0" w:rsidRDefault="00336E81" w:rsidP="00EC02A0">
      <w:r>
        <w:rPr>
          <w:noProof/>
          <w:sz w:val="28"/>
          <w:szCs w:val="28"/>
        </w:rPr>
        <w:drawing>
          <wp:inline distT="0" distB="0" distL="0" distR="0">
            <wp:extent cx="6254750" cy="25273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6E48" w:rsidRDefault="003B6E48" w:rsidP="00883FDF">
      <w:r w:rsidRPr="00995DE0">
        <w:tab/>
        <w:t xml:space="preserve">Демографическая ситуация </w:t>
      </w:r>
      <w:r w:rsidR="00D775E7">
        <w:t xml:space="preserve">за </w:t>
      </w:r>
      <w:r w:rsidR="00DB222B" w:rsidRPr="00995DE0">
        <w:t xml:space="preserve"> </w:t>
      </w:r>
      <w:r w:rsidRPr="00995DE0">
        <w:t>201</w:t>
      </w:r>
      <w:r w:rsidR="00051378" w:rsidRPr="00995DE0">
        <w:t>2</w:t>
      </w:r>
      <w:r w:rsidRPr="00995DE0">
        <w:t xml:space="preserve"> год характеризовалась </w:t>
      </w:r>
      <w:r w:rsidR="00C43525">
        <w:t xml:space="preserve">в целом </w:t>
      </w:r>
      <w:r w:rsidR="00051378" w:rsidRPr="00995DE0">
        <w:t xml:space="preserve">снижением </w:t>
      </w:r>
      <w:r w:rsidRPr="00995DE0">
        <w:t xml:space="preserve"> </w:t>
      </w:r>
      <w:r w:rsidR="00051378" w:rsidRPr="00995DE0">
        <w:t>естественной убыли населения</w:t>
      </w:r>
      <w:r w:rsidR="00C43525">
        <w:t>, но при этом ч</w:t>
      </w:r>
      <w:r w:rsidRPr="00995DE0">
        <w:t>исло умерших превысило число роди</w:t>
      </w:r>
      <w:r w:rsidRPr="00995DE0">
        <w:t>в</w:t>
      </w:r>
      <w:r w:rsidRPr="00995DE0">
        <w:t xml:space="preserve">шихся в </w:t>
      </w:r>
      <w:r w:rsidR="0078532A" w:rsidRPr="0078532A">
        <w:t>1,9</w:t>
      </w:r>
      <w:r w:rsidRPr="0078532A">
        <w:t xml:space="preserve"> раза (</w:t>
      </w:r>
      <w:r w:rsidR="00051378" w:rsidRPr="0078532A">
        <w:t>в</w:t>
      </w:r>
      <w:r w:rsidR="00051378" w:rsidRPr="00C61A58">
        <w:t xml:space="preserve"> аналогичном периоде </w:t>
      </w:r>
      <w:r w:rsidRPr="00C61A58">
        <w:t xml:space="preserve"> 20</w:t>
      </w:r>
      <w:r w:rsidR="00096A75" w:rsidRPr="00C61A58">
        <w:t>1</w:t>
      </w:r>
      <w:r w:rsidR="00051378" w:rsidRPr="00C61A58">
        <w:t>1</w:t>
      </w:r>
      <w:r w:rsidRPr="00C61A58">
        <w:t xml:space="preserve"> год</w:t>
      </w:r>
      <w:r w:rsidR="00051378" w:rsidRPr="00C61A58">
        <w:t>а</w:t>
      </w:r>
      <w:r w:rsidRPr="00C61A58">
        <w:t xml:space="preserve"> </w:t>
      </w:r>
      <w:r w:rsidR="00FD153B" w:rsidRPr="00C61A58">
        <w:t>–</w:t>
      </w:r>
      <w:r w:rsidRPr="00C61A58">
        <w:t xml:space="preserve"> </w:t>
      </w:r>
      <w:r w:rsidR="007506E0" w:rsidRPr="00C61A58">
        <w:t>2,</w:t>
      </w:r>
      <w:r w:rsidR="00C61A58" w:rsidRPr="00C61A58">
        <w:t>0</w:t>
      </w:r>
      <w:r w:rsidR="00FD153B" w:rsidRPr="00C61A58">
        <w:t xml:space="preserve"> </w:t>
      </w:r>
      <w:r w:rsidRPr="00C61A58">
        <w:t>раза)</w:t>
      </w:r>
    </w:p>
    <w:p w:rsidR="004C6CD6" w:rsidRPr="00995DE0" w:rsidRDefault="004C6CD6" w:rsidP="00883FDF"/>
    <w:p w:rsidR="003B6E48" w:rsidRPr="00995DE0" w:rsidRDefault="003B6E48" w:rsidP="003B6E48">
      <w:pPr>
        <w:jc w:val="center"/>
        <w:rPr>
          <w:b/>
        </w:rPr>
      </w:pPr>
      <w:r w:rsidRPr="00995DE0">
        <w:rPr>
          <w:b/>
        </w:rPr>
        <w:t>Демографическая ситуация района.</w:t>
      </w:r>
    </w:p>
    <w:p w:rsidR="00092577" w:rsidRPr="00995DE0" w:rsidRDefault="00092577" w:rsidP="003B6E48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79"/>
        <w:gridCol w:w="696"/>
        <w:gridCol w:w="696"/>
        <w:gridCol w:w="1409"/>
        <w:gridCol w:w="1479"/>
        <w:gridCol w:w="1522"/>
      </w:tblGrid>
      <w:tr w:rsidR="00756C50" w:rsidRPr="00995DE0">
        <w:tc>
          <w:tcPr>
            <w:tcW w:w="0" w:type="auto"/>
          </w:tcPr>
          <w:p w:rsidR="00756C50" w:rsidRPr="00995DE0" w:rsidRDefault="00756C50" w:rsidP="003B6E48">
            <w:r w:rsidRPr="00995DE0">
              <w:t>Показатели</w:t>
            </w:r>
          </w:p>
        </w:tc>
        <w:tc>
          <w:tcPr>
            <w:tcW w:w="0" w:type="auto"/>
            <w:gridSpan w:val="3"/>
          </w:tcPr>
          <w:p w:rsidR="00756C50" w:rsidRPr="00995DE0" w:rsidRDefault="00756C50" w:rsidP="003B6E48">
            <w:r w:rsidRPr="00995DE0">
              <w:t xml:space="preserve">Человек </w:t>
            </w:r>
          </w:p>
        </w:tc>
        <w:tc>
          <w:tcPr>
            <w:tcW w:w="0" w:type="auto"/>
            <w:gridSpan w:val="2"/>
          </w:tcPr>
          <w:p w:rsidR="00756C50" w:rsidRPr="00995DE0" w:rsidRDefault="00756C50" w:rsidP="003B6E48">
            <w:r w:rsidRPr="00995DE0">
              <w:t>На 1000 человек населения</w:t>
            </w:r>
          </w:p>
        </w:tc>
      </w:tr>
      <w:tr w:rsidR="00756C50" w:rsidRPr="00995DE0">
        <w:tc>
          <w:tcPr>
            <w:tcW w:w="0" w:type="auto"/>
          </w:tcPr>
          <w:p w:rsidR="00756C50" w:rsidRPr="00995DE0" w:rsidRDefault="00756C50" w:rsidP="003B6E48">
            <w:pPr>
              <w:rPr>
                <w:b/>
              </w:rPr>
            </w:pPr>
          </w:p>
        </w:tc>
        <w:tc>
          <w:tcPr>
            <w:tcW w:w="0" w:type="auto"/>
          </w:tcPr>
          <w:p w:rsidR="00756C50" w:rsidRPr="00995DE0" w:rsidRDefault="00756C50" w:rsidP="003B6E48">
            <w:r w:rsidRPr="00995DE0">
              <w:t>201</w:t>
            </w:r>
            <w:r w:rsidR="0095087A" w:rsidRPr="00995DE0">
              <w:t>2</w:t>
            </w:r>
          </w:p>
        </w:tc>
        <w:tc>
          <w:tcPr>
            <w:tcW w:w="0" w:type="auto"/>
          </w:tcPr>
          <w:p w:rsidR="00756C50" w:rsidRPr="00995DE0" w:rsidRDefault="00756C50" w:rsidP="003B6E48">
            <w:r w:rsidRPr="00995DE0">
              <w:t>20</w:t>
            </w:r>
            <w:r w:rsidR="00867D63" w:rsidRPr="00995DE0">
              <w:t>1</w:t>
            </w:r>
            <w:r w:rsidR="0095087A" w:rsidRPr="00995DE0">
              <w:t>1</w:t>
            </w:r>
          </w:p>
        </w:tc>
        <w:tc>
          <w:tcPr>
            <w:tcW w:w="0" w:type="auto"/>
          </w:tcPr>
          <w:p w:rsidR="00756C50" w:rsidRPr="00995DE0" w:rsidRDefault="00756C50" w:rsidP="003B6E48">
            <w:r w:rsidRPr="00995DE0">
              <w:t>Прирост +</w:t>
            </w:r>
          </w:p>
          <w:p w:rsidR="00756C50" w:rsidRPr="00995DE0" w:rsidRDefault="00756C50" w:rsidP="003B6E48">
            <w:r w:rsidRPr="00995DE0">
              <w:t>Снижение -</w:t>
            </w:r>
          </w:p>
        </w:tc>
        <w:tc>
          <w:tcPr>
            <w:tcW w:w="0" w:type="auto"/>
          </w:tcPr>
          <w:p w:rsidR="00756C50" w:rsidRPr="00995DE0" w:rsidRDefault="00756C50" w:rsidP="008C01EF">
            <w:pPr>
              <w:jc w:val="center"/>
            </w:pPr>
            <w:r w:rsidRPr="00995DE0">
              <w:t>201</w:t>
            </w:r>
            <w:r w:rsidR="005751D8" w:rsidRPr="00995DE0">
              <w:t>2</w:t>
            </w:r>
          </w:p>
        </w:tc>
        <w:tc>
          <w:tcPr>
            <w:tcW w:w="0" w:type="auto"/>
          </w:tcPr>
          <w:p w:rsidR="00756C50" w:rsidRPr="00995DE0" w:rsidRDefault="00756C50" w:rsidP="008C01EF">
            <w:pPr>
              <w:jc w:val="center"/>
            </w:pPr>
            <w:r w:rsidRPr="00995DE0">
              <w:t>20</w:t>
            </w:r>
            <w:r w:rsidR="00867D63" w:rsidRPr="00995DE0">
              <w:t>1</w:t>
            </w:r>
            <w:r w:rsidR="0095087A" w:rsidRPr="00995DE0">
              <w:t>1</w:t>
            </w:r>
          </w:p>
        </w:tc>
      </w:tr>
      <w:tr w:rsidR="00756C50" w:rsidRPr="00995DE0" w:rsidTr="005A5C8F">
        <w:tc>
          <w:tcPr>
            <w:tcW w:w="0" w:type="auto"/>
          </w:tcPr>
          <w:p w:rsidR="00756C50" w:rsidRPr="00995DE0" w:rsidRDefault="00756C50" w:rsidP="003B6E48">
            <w:r w:rsidRPr="00995DE0">
              <w:t>Родившихся</w:t>
            </w:r>
          </w:p>
        </w:tc>
        <w:tc>
          <w:tcPr>
            <w:tcW w:w="0" w:type="auto"/>
            <w:shd w:val="clear" w:color="auto" w:fill="auto"/>
          </w:tcPr>
          <w:p w:rsidR="00756C50" w:rsidRPr="005A5C8F" w:rsidRDefault="0078532A" w:rsidP="00D94775">
            <w:pPr>
              <w:jc w:val="center"/>
            </w:pPr>
            <w:r w:rsidRPr="005A5C8F">
              <w:t>278</w:t>
            </w:r>
          </w:p>
        </w:tc>
        <w:tc>
          <w:tcPr>
            <w:tcW w:w="0" w:type="auto"/>
          </w:tcPr>
          <w:p w:rsidR="00756C50" w:rsidRPr="00995DE0" w:rsidRDefault="005650E6" w:rsidP="00D94775">
            <w:pPr>
              <w:jc w:val="center"/>
            </w:pPr>
            <w:r>
              <w:t>2</w:t>
            </w:r>
            <w:r w:rsidR="00C61A58">
              <w:t>85</w:t>
            </w:r>
          </w:p>
        </w:tc>
        <w:tc>
          <w:tcPr>
            <w:tcW w:w="0" w:type="auto"/>
          </w:tcPr>
          <w:p w:rsidR="00756C50" w:rsidRPr="005A5C8F" w:rsidRDefault="009219D5" w:rsidP="00D94775">
            <w:pPr>
              <w:jc w:val="center"/>
            </w:pPr>
            <w:r w:rsidRPr="005A5C8F">
              <w:t>-</w:t>
            </w:r>
            <w:r w:rsidR="005A5C8F">
              <w:t>7</w:t>
            </w:r>
          </w:p>
        </w:tc>
        <w:tc>
          <w:tcPr>
            <w:tcW w:w="0" w:type="auto"/>
          </w:tcPr>
          <w:p w:rsidR="00756C50" w:rsidRPr="005A5C8F" w:rsidRDefault="005A5C8F" w:rsidP="00D94775">
            <w:pPr>
              <w:jc w:val="center"/>
            </w:pPr>
            <w:r>
              <w:t>10,9</w:t>
            </w:r>
          </w:p>
        </w:tc>
        <w:tc>
          <w:tcPr>
            <w:tcW w:w="0" w:type="auto"/>
          </w:tcPr>
          <w:p w:rsidR="00756C50" w:rsidRPr="00995DE0" w:rsidRDefault="005650E6" w:rsidP="00D94775">
            <w:pPr>
              <w:jc w:val="center"/>
            </w:pPr>
            <w:r>
              <w:t>10,</w:t>
            </w:r>
            <w:r w:rsidR="00C61A58">
              <w:t>9</w:t>
            </w:r>
          </w:p>
        </w:tc>
      </w:tr>
      <w:tr w:rsidR="00756C50" w:rsidRPr="00995DE0" w:rsidTr="005A5C8F">
        <w:tc>
          <w:tcPr>
            <w:tcW w:w="0" w:type="auto"/>
          </w:tcPr>
          <w:p w:rsidR="00756C50" w:rsidRPr="00995DE0" w:rsidRDefault="00756C50" w:rsidP="003B6E48">
            <w:r w:rsidRPr="00995DE0">
              <w:t>Умерших</w:t>
            </w:r>
          </w:p>
        </w:tc>
        <w:tc>
          <w:tcPr>
            <w:tcW w:w="0" w:type="auto"/>
            <w:shd w:val="clear" w:color="auto" w:fill="auto"/>
          </w:tcPr>
          <w:p w:rsidR="00756C50" w:rsidRPr="005A5C8F" w:rsidRDefault="0078532A" w:rsidP="00D94775">
            <w:pPr>
              <w:jc w:val="center"/>
            </w:pPr>
            <w:r w:rsidRPr="005A5C8F">
              <w:t>528</w:t>
            </w:r>
          </w:p>
        </w:tc>
        <w:tc>
          <w:tcPr>
            <w:tcW w:w="0" w:type="auto"/>
          </w:tcPr>
          <w:p w:rsidR="00756C50" w:rsidRPr="00995DE0" w:rsidRDefault="00C61A58" w:rsidP="00D94775">
            <w:pPr>
              <w:jc w:val="center"/>
            </w:pPr>
            <w:r>
              <w:t>570</w:t>
            </w:r>
          </w:p>
        </w:tc>
        <w:tc>
          <w:tcPr>
            <w:tcW w:w="0" w:type="auto"/>
          </w:tcPr>
          <w:p w:rsidR="00756C50" w:rsidRPr="005A5C8F" w:rsidRDefault="009219D5" w:rsidP="00D94775">
            <w:pPr>
              <w:jc w:val="center"/>
            </w:pPr>
            <w:r w:rsidRPr="005A5C8F">
              <w:t>-4</w:t>
            </w:r>
            <w:r w:rsidR="005A5C8F">
              <w:t>2</w:t>
            </w:r>
          </w:p>
        </w:tc>
        <w:tc>
          <w:tcPr>
            <w:tcW w:w="0" w:type="auto"/>
          </w:tcPr>
          <w:p w:rsidR="00756C50" w:rsidRPr="005A5C8F" w:rsidRDefault="005A5C8F" w:rsidP="00D94775">
            <w:pPr>
              <w:jc w:val="center"/>
            </w:pPr>
            <w:r>
              <w:t>20,7</w:t>
            </w:r>
          </w:p>
        </w:tc>
        <w:tc>
          <w:tcPr>
            <w:tcW w:w="0" w:type="auto"/>
          </w:tcPr>
          <w:p w:rsidR="00756C50" w:rsidRPr="00995DE0" w:rsidRDefault="005650E6" w:rsidP="00D94775">
            <w:pPr>
              <w:jc w:val="center"/>
            </w:pPr>
            <w:r>
              <w:t>2</w:t>
            </w:r>
            <w:r w:rsidR="00C61A58">
              <w:t>1,8</w:t>
            </w:r>
          </w:p>
        </w:tc>
      </w:tr>
      <w:tr w:rsidR="00756C50" w:rsidRPr="00995DE0" w:rsidTr="005A5C8F">
        <w:tc>
          <w:tcPr>
            <w:tcW w:w="0" w:type="auto"/>
          </w:tcPr>
          <w:p w:rsidR="00756C50" w:rsidRPr="00995DE0" w:rsidRDefault="00756C50" w:rsidP="003B6E48">
            <w:r w:rsidRPr="00995DE0">
              <w:t>Естественная убыль</w:t>
            </w:r>
          </w:p>
        </w:tc>
        <w:tc>
          <w:tcPr>
            <w:tcW w:w="0" w:type="auto"/>
            <w:shd w:val="clear" w:color="auto" w:fill="auto"/>
          </w:tcPr>
          <w:p w:rsidR="00756C50" w:rsidRPr="005A5C8F" w:rsidRDefault="009219D5" w:rsidP="00D94775">
            <w:pPr>
              <w:jc w:val="center"/>
            </w:pPr>
            <w:r w:rsidRPr="005A5C8F">
              <w:t>-</w:t>
            </w:r>
            <w:r w:rsidR="005A5C8F" w:rsidRPr="005A5C8F">
              <w:t>250</w:t>
            </w:r>
          </w:p>
        </w:tc>
        <w:tc>
          <w:tcPr>
            <w:tcW w:w="0" w:type="auto"/>
          </w:tcPr>
          <w:p w:rsidR="00756C50" w:rsidRPr="00995DE0" w:rsidRDefault="008C01EF" w:rsidP="00D94775">
            <w:pPr>
              <w:jc w:val="center"/>
            </w:pPr>
            <w:r w:rsidRPr="00995DE0">
              <w:t>-</w:t>
            </w:r>
            <w:r w:rsidR="005751D8" w:rsidRPr="00995DE0">
              <w:t>2</w:t>
            </w:r>
            <w:r w:rsidR="00C61A58">
              <w:t>85</w:t>
            </w:r>
          </w:p>
        </w:tc>
        <w:tc>
          <w:tcPr>
            <w:tcW w:w="0" w:type="auto"/>
          </w:tcPr>
          <w:p w:rsidR="00756C50" w:rsidRPr="005A5C8F" w:rsidRDefault="00756C50" w:rsidP="00D94775">
            <w:pPr>
              <w:jc w:val="center"/>
            </w:pPr>
          </w:p>
        </w:tc>
        <w:tc>
          <w:tcPr>
            <w:tcW w:w="0" w:type="auto"/>
          </w:tcPr>
          <w:p w:rsidR="00756C50" w:rsidRPr="005A5C8F" w:rsidRDefault="007506E0" w:rsidP="00D94775">
            <w:pPr>
              <w:jc w:val="center"/>
            </w:pPr>
            <w:r w:rsidRPr="005A5C8F">
              <w:t>-</w:t>
            </w:r>
            <w:r w:rsidR="005A5C8F">
              <w:t>9</w:t>
            </w:r>
            <w:r w:rsidRPr="005A5C8F">
              <w:t>,8</w:t>
            </w:r>
          </w:p>
        </w:tc>
        <w:tc>
          <w:tcPr>
            <w:tcW w:w="0" w:type="auto"/>
          </w:tcPr>
          <w:p w:rsidR="00756C50" w:rsidRPr="00995DE0" w:rsidRDefault="005650E6" w:rsidP="00D94775">
            <w:pPr>
              <w:jc w:val="center"/>
            </w:pPr>
            <w:r>
              <w:t>-1</w:t>
            </w:r>
            <w:r w:rsidR="00C61A58">
              <w:t>0,9</w:t>
            </w:r>
          </w:p>
        </w:tc>
      </w:tr>
    </w:tbl>
    <w:p w:rsidR="003B6E48" w:rsidRPr="00995DE0" w:rsidRDefault="003B6E48" w:rsidP="003B6E48">
      <w:pPr>
        <w:rPr>
          <w:b/>
        </w:rPr>
      </w:pPr>
    </w:p>
    <w:p w:rsidR="00756C50" w:rsidRPr="00995DE0" w:rsidRDefault="00F12A53" w:rsidP="003B6E48">
      <w:r w:rsidRPr="00995DE0">
        <w:tab/>
      </w:r>
      <w:r w:rsidR="0064010E" w:rsidRPr="00995DE0">
        <w:t xml:space="preserve">В </w:t>
      </w:r>
      <w:r w:rsidR="0012678F">
        <w:t xml:space="preserve">течение </w:t>
      </w:r>
      <w:r w:rsidR="0064010E" w:rsidRPr="00995DE0">
        <w:t>201</w:t>
      </w:r>
      <w:r w:rsidR="002224F7" w:rsidRPr="00995DE0">
        <w:t>2</w:t>
      </w:r>
      <w:r w:rsidR="0064010E" w:rsidRPr="00995DE0">
        <w:t xml:space="preserve"> год</w:t>
      </w:r>
      <w:r w:rsidR="002224F7" w:rsidRPr="00995DE0">
        <w:t>а</w:t>
      </w:r>
      <w:r w:rsidR="0064010E" w:rsidRPr="00995DE0">
        <w:t xml:space="preserve"> коэффициент рождаемости ( в расчете на 1000 человек насел</w:t>
      </w:r>
      <w:r w:rsidR="0064010E" w:rsidRPr="00995DE0">
        <w:t>е</w:t>
      </w:r>
      <w:r w:rsidR="0064010E" w:rsidRPr="00995DE0">
        <w:t xml:space="preserve">ния) </w:t>
      </w:r>
      <w:r w:rsidR="005A5C8F">
        <w:t>остался на уровне 2</w:t>
      </w:r>
      <w:r w:rsidR="0064010E" w:rsidRPr="00995DE0">
        <w:t>0</w:t>
      </w:r>
      <w:r w:rsidR="009B62E4" w:rsidRPr="00995DE0">
        <w:t>1</w:t>
      </w:r>
      <w:r w:rsidR="002224F7" w:rsidRPr="00995DE0">
        <w:t>1</w:t>
      </w:r>
      <w:r w:rsidR="0064010E" w:rsidRPr="00995DE0">
        <w:t xml:space="preserve"> год</w:t>
      </w:r>
      <w:r w:rsidR="005A5C8F">
        <w:t xml:space="preserve">а - </w:t>
      </w:r>
      <w:r w:rsidR="00756C50" w:rsidRPr="00995DE0">
        <w:t xml:space="preserve"> </w:t>
      </w:r>
      <w:r w:rsidR="00C10221">
        <w:t>10,</w:t>
      </w:r>
      <w:r w:rsidR="00C61A58">
        <w:t>9</w:t>
      </w:r>
      <w:r w:rsidR="00347530" w:rsidRPr="00995DE0">
        <w:t xml:space="preserve"> </w:t>
      </w:r>
      <w:r w:rsidR="005A5C8F">
        <w:t>чел.</w:t>
      </w:r>
    </w:p>
    <w:p w:rsidR="001A5D64" w:rsidRPr="00995DE0" w:rsidRDefault="001A5D64" w:rsidP="003B6E48">
      <w:r w:rsidRPr="00995DE0">
        <w:lastRenderedPageBreak/>
        <w:tab/>
      </w:r>
    </w:p>
    <w:p w:rsidR="00B42745" w:rsidRPr="00995DE0" w:rsidRDefault="005F3E7E" w:rsidP="003B6E48">
      <w:r w:rsidRPr="00995DE0">
        <w:tab/>
      </w:r>
      <w:r w:rsidR="001A5D64" w:rsidRPr="00995DE0">
        <w:t>Номинальная заработная плата (без субъектов малого предпри</w:t>
      </w:r>
      <w:r w:rsidR="00B42745" w:rsidRPr="00995DE0">
        <w:t>ни</w:t>
      </w:r>
      <w:r w:rsidR="001A5D64" w:rsidRPr="00995DE0">
        <w:t xml:space="preserve">мательства ) </w:t>
      </w:r>
      <w:r w:rsidR="00B42745" w:rsidRPr="00995DE0">
        <w:t>с</w:t>
      </w:r>
      <w:r w:rsidR="00B42745" w:rsidRPr="00995DE0">
        <w:t>о</w:t>
      </w:r>
      <w:r w:rsidR="00B42745" w:rsidRPr="00995DE0">
        <w:t>ставила в</w:t>
      </w:r>
      <w:r w:rsidR="00756C50" w:rsidRPr="00995DE0">
        <w:t xml:space="preserve"> январе-</w:t>
      </w:r>
      <w:r w:rsidR="004E5162" w:rsidRPr="00995DE0">
        <w:t xml:space="preserve"> </w:t>
      </w:r>
      <w:r w:rsidR="008D6D75">
        <w:t>ноябре</w:t>
      </w:r>
      <w:r w:rsidR="00C10221">
        <w:t xml:space="preserve"> 2012</w:t>
      </w:r>
      <w:r w:rsidR="00B42745" w:rsidRPr="00995DE0">
        <w:t xml:space="preserve"> год</w:t>
      </w:r>
      <w:r w:rsidR="002B65B1" w:rsidRPr="00995DE0">
        <w:t>а</w:t>
      </w:r>
      <w:r w:rsidR="00756C50" w:rsidRPr="00995DE0">
        <w:t xml:space="preserve"> </w:t>
      </w:r>
      <w:r w:rsidR="009A3110" w:rsidRPr="00995DE0">
        <w:t>1</w:t>
      </w:r>
      <w:r w:rsidR="00C10221">
        <w:t>7</w:t>
      </w:r>
      <w:r w:rsidR="008D6D75">
        <w:t xml:space="preserve">740,2 </w:t>
      </w:r>
      <w:r w:rsidR="00B42745" w:rsidRPr="00995DE0">
        <w:t xml:space="preserve">руб., что на </w:t>
      </w:r>
      <w:r w:rsidR="009A3110" w:rsidRPr="00995DE0">
        <w:t>1</w:t>
      </w:r>
      <w:r w:rsidR="009F1354" w:rsidRPr="00995DE0">
        <w:t>1</w:t>
      </w:r>
      <w:r w:rsidR="00C10221">
        <w:t>4</w:t>
      </w:r>
      <w:r w:rsidR="009F1354" w:rsidRPr="00995DE0">
        <w:t>,</w:t>
      </w:r>
      <w:r w:rsidR="008D6D75">
        <w:t>0</w:t>
      </w:r>
      <w:r w:rsidR="00CF16E2" w:rsidRPr="00995DE0">
        <w:t xml:space="preserve"> </w:t>
      </w:r>
      <w:r w:rsidR="00B42745" w:rsidRPr="00995DE0">
        <w:t>%  выше</w:t>
      </w:r>
      <w:r w:rsidR="00AD48BA" w:rsidRPr="00995DE0">
        <w:t xml:space="preserve"> аналогичного </w:t>
      </w:r>
      <w:r w:rsidR="00B42745" w:rsidRPr="00995DE0">
        <w:t xml:space="preserve"> уровня 20</w:t>
      </w:r>
      <w:r w:rsidR="00CF16E2" w:rsidRPr="00995DE0">
        <w:t>11</w:t>
      </w:r>
      <w:r w:rsidR="00B42745" w:rsidRPr="00995DE0">
        <w:t xml:space="preserve"> года</w:t>
      </w:r>
      <w:r w:rsidR="00AD48BA" w:rsidRPr="00995DE0">
        <w:t>.</w:t>
      </w:r>
      <w:r w:rsidR="00D22047" w:rsidRPr="00995DE0">
        <w:t xml:space="preserve"> Задолженности по заработной плате у предприятий и организаций на 1 </w:t>
      </w:r>
      <w:r w:rsidR="008D6D75">
        <w:t>декабря</w:t>
      </w:r>
      <w:r w:rsidR="00C10221">
        <w:t xml:space="preserve"> т</w:t>
      </w:r>
      <w:r w:rsidR="00A445B1" w:rsidRPr="00995DE0">
        <w:t xml:space="preserve">екущего года </w:t>
      </w:r>
      <w:r w:rsidR="00D22047" w:rsidRPr="00995DE0">
        <w:t>нет.</w:t>
      </w:r>
    </w:p>
    <w:p w:rsidR="002B65B1" w:rsidRPr="00995DE0" w:rsidRDefault="002B65B1" w:rsidP="003B6E48"/>
    <w:p w:rsidR="00B42745" w:rsidRPr="00995DE0" w:rsidRDefault="00B42745" w:rsidP="00B42745">
      <w:pPr>
        <w:pStyle w:val="a4"/>
        <w:spacing w:line="360" w:lineRule="auto"/>
        <w:ind w:firstLine="851"/>
        <w:jc w:val="center"/>
        <w:rPr>
          <w:sz w:val="32"/>
          <w:szCs w:val="32"/>
        </w:rPr>
      </w:pPr>
      <w:r w:rsidRPr="00995DE0">
        <w:rPr>
          <w:sz w:val="32"/>
          <w:szCs w:val="32"/>
        </w:rPr>
        <w:t>Среднемесячная заработная плата, (руб.)</w:t>
      </w:r>
    </w:p>
    <w:p w:rsidR="00756C50" w:rsidRPr="00995DE0" w:rsidRDefault="00756C50" w:rsidP="00B42745">
      <w:pPr>
        <w:pStyle w:val="a4"/>
        <w:spacing w:line="360" w:lineRule="auto"/>
        <w:ind w:firstLine="851"/>
        <w:jc w:val="center"/>
        <w:rPr>
          <w:sz w:val="32"/>
          <w:szCs w:val="32"/>
        </w:rPr>
      </w:pPr>
      <w:r w:rsidRPr="00995DE0">
        <w:rPr>
          <w:sz w:val="32"/>
          <w:szCs w:val="32"/>
        </w:rPr>
        <w:t>( январь-</w:t>
      </w:r>
      <w:r w:rsidR="005D0157">
        <w:rPr>
          <w:sz w:val="32"/>
          <w:szCs w:val="32"/>
        </w:rPr>
        <w:t>ноябр</w:t>
      </w:r>
      <w:r w:rsidR="00274F45">
        <w:rPr>
          <w:sz w:val="32"/>
          <w:szCs w:val="32"/>
        </w:rPr>
        <w:t>ь</w:t>
      </w:r>
      <w:r w:rsidR="00334ECE">
        <w:rPr>
          <w:sz w:val="32"/>
          <w:szCs w:val="32"/>
        </w:rPr>
        <w:t xml:space="preserve"> </w:t>
      </w:r>
      <w:r w:rsidRPr="00995DE0">
        <w:rPr>
          <w:sz w:val="32"/>
          <w:szCs w:val="32"/>
        </w:rPr>
        <w:t>201</w:t>
      </w:r>
      <w:r w:rsidR="00CF16E2" w:rsidRPr="00995DE0">
        <w:rPr>
          <w:sz w:val="32"/>
          <w:szCs w:val="32"/>
        </w:rPr>
        <w:t>2</w:t>
      </w:r>
      <w:r w:rsidRPr="00995DE0">
        <w:rPr>
          <w:sz w:val="32"/>
          <w:szCs w:val="32"/>
        </w:rPr>
        <w:t xml:space="preserve"> года )</w:t>
      </w:r>
    </w:p>
    <w:p w:rsidR="00B42745" w:rsidRPr="00995DE0" w:rsidRDefault="00336E81" w:rsidP="00B42745">
      <w:r>
        <w:rPr>
          <w:noProof/>
          <w:sz w:val="28"/>
          <w:szCs w:val="28"/>
        </w:rPr>
        <w:drawing>
          <wp:inline distT="0" distB="0" distL="0" distR="0">
            <wp:extent cx="5689600" cy="24320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2745" w:rsidRPr="00995DE0" w:rsidRDefault="00B42745"/>
    <w:p w:rsidR="003336A1" w:rsidRPr="00995DE0" w:rsidRDefault="003336A1"/>
    <w:p w:rsidR="003336A1" w:rsidRPr="00483BC3" w:rsidRDefault="004B234B" w:rsidP="004B234B">
      <w:pPr>
        <w:jc w:val="both"/>
      </w:pPr>
      <w:r w:rsidRPr="00995DE0">
        <w:t xml:space="preserve">            </w:t>
      </w:r>
      <w:r w:rsidR="003336A1" w:rsidRPr="00483BC3">
        <w:t>В 201</w:t>
      </w:r>
      <w:r w:rsidR="00655552" w:rsidRPr="00483BC3">
        <w:t>2</w:t>
      </w:r>
      <w:r w:rsidR="003336A1" w:rsidRPr="00483BC3">
        <w:t xml:space="preserve"> году среднесписочная численность </w:t>
      </w:r>
      <w:r w:rsidR="00F16EF3" w:rsidRPr="00483BC3">
        <w:t>работающих в организациях ( без суб</w:t>
      </w:r>
      <w:r w:rsidR="00F16EF3" w:rsidRPr="00483BC3">
        <w:t>ъ</w:t>
      </w:r>
      <w:r w:rsidR="00F16EF3" w:rsidRPr="00483BC3">
        <w:t xml:space="preserve">ектов малого предпринимательства) Валдайского муниципального </w:t>
      </w:r>
      <w:r w:rsidR="000C06ED" w:rsidRPr="00483BC3">
        <w:t xml:space="preserve">района составила </w:t>
      </w:r>
      <w:r w:rsidR="00A552BA" w:rsidRPr="00483BC3">
        <w:t>6</w:t>
      </w:r>
      <w:r w:rsidR="00721C98">
        <w:t>4</w:t>
      </w:r>
      <w:r w:rsidR="000635EA" w:rsidRPr="00483BC3">
        <w:t>7</w:t>
      </w:r>
      <w:r w:rsidR="00721C98">
        <w:t>5</w:t>
      </w:r>
      <w:r w:rsidR="00A552BA" w:rsidRPr="00483BC3">
        <w:t xml:space="preserve"> </w:t>
      </w:r>
      <w:r w:rsidR="000C06ED" w:rsidRPr="00483BC3">
        <w:t>чел</w:t>
      </w:r>
      <w:r w:rsidR="000C06ED" w:rsidRPr="00483BC3">
        <w:t>о</w:t>
      </w:r>
      <w:r w:rsidR="000C06ED" w:rsidRPr="00483BC3">
        <w:t>век и уменьшилась по сравнению с 20</w:t>
      </w:r>
      <w:r w:rsidR="003E16E7" w:rsidRPr="00483BC3">
        <w:t>1</w:t>
      </w:r>
      <w:r w:rsidR="00655552" w:rsidRPr="00483BC3">
        <w:t>1</w:t>
      </w:r>
      <w:r w:rsidR="000C06ED" w:rsidRPr="00483BC3">
        <w:t xml:space="preserve"> годом на </w:t>
      </w:r>
      <w:r w:rsidR="000635EA" w:rsidRPr="00483BC3">
        <w:t>0,6</w:t>
      </w:r>
      <w:r w:rsidR="000C06ED" w:rsidRPr="00483BC3">
        <w:t>%</w:t>
      </w:r>
      <w:r w:rsidR="00867D63" w:rsidRPr="00483BC3">
        <w:t>.</w:t>
      </w:r>
    </w:p>
    <w:p w:rsidR="002A1348" w:rsidRPr="00483BC3" w:rsidRDefault="002A1348" w:rsidP="004B234B">
      <w:pPr>
        <w:jc w:val="both"/>
      </w:pPr>
      <w:r w:rsidRPr="00483BC3">
        <w:tab/>
        <w:t xml:space="preserve">За счет средств </w:t>
      </w:r>
      <w:r w:rsidR="00A552BA" w:rsidRPr="00483BC3">
        <w:t xml:space="preserve">областных субвенций и благотворительных пожертвований </w:t>
      </w:r>
      <w:r w:rsidRPr="00483BC3">
        <w:t xml:space="preserve">была оказана помощь </w:t>
      </w:r>
      <w:r w:rsidR="00D615C3" w:rsidRPr="00483BC3">
        <w:t>8</w:t>
      </w:r>
      <w:r w:rsidR="004F63EF">
        <w:t>60</w:t>
      </w:r>
      <w:r w:rsidRPr="00483BC3">
        <w:t xml:space="preserve"> гражданам на сумму </w:t>
      </w:r>
      <w:r w:rsidR="004F63EF">
        <w:t>2322</w:t>
      </w:r>
      <w:r w:rsidR="00A552BA" w:rsidRPr="00483BC3">
        <w:t xml:space="preserve"> </w:t>
      </w:r>
      <w:r w:rsidRPr="00483BC3">
        <w:t xml:space="preserve">тыс.руб. Средний размер материальной помощи составил </w:t>
      </w:r>
      <w:r w:rsidR="00871686" w:rsidRPr="00483BC3">
        <w:t>2</w:t>
      </w:r>
      <w:r w:rsidR="004F63EF">
        <w:t>7</w:t>
      </w:r>
      <w:r w:rsidR="00871686" w:rsidRPr="00483BC3">
        <w:t>00</w:t>
      </w:r>
      <w:r w:rsidR="00A552BA" w:rsidRPr="00483BC3">
        <w:t xml:space="preserve"> </w:t>
      </w:r>
      <w:r w:rsidRPr="00483BC3">
        <w:t>руб.</w:t>
      </w:r>
    </w:p>
    <w:p w:rsidR="002A1348" w:rsidRPr="00995DE0" w:rsidRDefault="00660B3C" w:rsidP="004B234B">
      <w:pPr>
        <w:jc w:val="both"/>
      </w:pPr>
      <w:r w:rsidRPr="00483BC3">
        <w:tab/>
      </w:r>
      <w:r w:rsidR="002A1348" w:rsidRPr="00483BC3">
        <w:t xml:space="preserve">Число малообеспеченных граждан в районе </w:t>
      </w:r>
      <w:r w:rsidR="00070E15" w:rsidRPr="00483BC3">
        <w:t>н</w:t>
      </w:r>
      <w:r w:rsidR="002A1348" w:rsidRPr="00483BC3">
        <w:t>а 1</w:t>
      </w:r>
      <w:r w:rsidR="00871686" w:rsidRPr="00483BC3">
        <w:t xml:space="preserve"> </w:t>
      </w:r>
      <w:r w:rsidR="004F63EF">
        <w:t>января</w:t>
      </w:r>
      <w:r w:rsidR="002A1348" w:rsidRPr="00483BC3">
        <w:t xml:space="preserve"> 201</w:t>
      </w:r>
      <w:r w:rsidR="004F63EF">
        <w:t>3</w:t>
      </w:r>
      <w:r w:rsidR="002A1348" w:rsidRPr="00483BC3">
        <w:t xml:space="preserve"> года  составл</w:t>
      </w:r>
      <w:r w:rsidR="002A1348" w:rsidRPr="00483BC3">
        <w:t>я</w:t>
      </w:r>
      <w:r w:rsidR="002A1348" w:rsidRPr="00483BC3">
        <w:t xml:space="preserve">ет </w:t>
      </w:r>
      <w:r w:rsidR="00070E15" w:rsidRPr="00483BC3">
        <w:t>2</w:t>
      </w:r>
      <w:r w:rsidR="004F63EF">
        <w:t>287</w:t>
      </w:r>
      <w:r w:rsidR="00A552BA" w:rsidRPr="00483BC3">
        <w:t xml:space="preserve"> </w:t>
      </w:r>
      <w:r w:rsidR="002A1348" w:rsidRPr="00483BC3">
        <w:t xml:space="preserve">человек, что на </w:t>
      </w:r>
      <w:r w:rsidR="004F63EF">
        <w:t>317</w:t>
      </w:r>
      <w:r w:rsidR="00871686" w:rsidRPr="00483BC3">
        <w:t xml:space="preserve"> ч</w:t>
      </w:r>
      <w:r w:rsidR="002A1348" w:rsidRPr="00483BC3">
        <w:t xml:space="preserve">ел. </w:t>
      </w:r>
      <w:r w:rsidR="004F63EF">
        <w:t>меньше</w:t>
      </w:r>
      <w:r w:rsidR="00CA13ED" w:rsidRPr="00483BC3">
        <w:t>, чем в 20</w:t>
      </w:r>
      <w:r w:rsidRPr="00483BC3">
        <w:t>1</w:t>
      </w:r>
      <w:r w:rsidR="00EB1310" w:rsidRPr="00483BC3">
        <w:t>1</w:t>
      </w:r>
      <w:r w:rsidR="00CA13ED" w:rsidRPr="00483BC3">
        <w:t xml:space="preserve"> году. </w:t>
      </w:r>
      <w:r w:rsidR="00EF6EA5" w:rsidRPr="00483BC3">
        <w:t>3</w:t>
      </w:r>
      <w:r w:rsidR="00805281">
        <w:t>4,6</w:t>
      </w:r>
      <w:r w:rsidRPr="00483BC3">
        <w:t xml:space="preserve"> </w:t>
      </w:r>
      <w:r w:rsidR="00CA13ED" w:rsidRPr="00483BC3">
        <w:t>% населения относятся к льго</w:t>
      </w:r>
      <w:r w:rsidR="00CA13ED" w:rsidRPr="00483BC3">
        <w:t>т</w:t>
      </w:r>
      <w:r w:rsidR="00CA13ED" w:rsidRPr="00483BC3">
        <w:t>ной категории граждан ( федеральные льготники</w:t>
      </w:r>
      <w:r w:rsidRPr="00483BC3">
        <w:t xml:space="preserve"> </w:t>
      </w:r>
      <w:r w:rsidR="00EF6EA5" w:rsidRPr="00483BC3">
        <w:t>4</w:t>
      </w:r>
      <w:r w:rsidR="00805281">
        <w:t>253</w:t>
      </w:r>
      <w:r w:rsidR="00A552BA" w:rsidRPr="00483BC3">
        <w:t xml:space="preserve"> </w:t>
      </w:r>
      <w:r w:rsidR="00CA13ED" w:rsidRPr="00483BC3">
        <w:t xml:space="preserve">чел, региональные </w:t>
      </w:r>
      <w:r w:rsidR="00EF6EA5" w:rsidRPr="00483BC3">
        <w:t>4</w:t>
      </w:r>
      <w:r w:rsidR="00805281">
        <w:t>594</w:t>
      </w:r>
      <w:r w:rsidR="00CA13ED" w:rsidRPr="00483BC3">
        <w:t xml:space="preserve"> чел.) Меры с</w:t>
      </w:r>
      <w:r w:rsidR="00CA13ED" w:rsidRPr="00483BC3">
        <w:t>о</w:t>
      </w:r>
      <w:r w:rsidR="00CA13ED" w:rsidRPr="00483BC3">
        <w:t>циальной поддержки гражданам льготируемых категорий пред</w:t>
      </w:r>
      <w:r w:rsidR="00837C3B" w:rsidRPr="00483BC3">
        <w:t>о</w:t>
      </w:r>
      <w:r w:rsidR="00CA13ED" w:rsidRPr="00483BC3">
        <w:t>ста</w:t>
      </w:r>
      <w:r w:rsidR="00837C3B" w:rsidRPr="00483BC3">
        <w:t>в</w:t>
      </w:r>
      <w:r w:rsidR="00CA13ED" w:rsidRPr="00483BC3">
        <w:t>л</w:t>
      </w:r>
      <w:r w:rsidR="00FC3D95" w:rsidRPr="00483BC3">
        <w:t>ены в полном об</w:t>
      </w:r>
      <w:r w:rsidR="00FC3D95" w:rsidRPr="00483BC3">
        <w:t>ъ</w:t>
      </w:r>
      <w:r w:rsidR="00FC3D95" w:rsidRPr="00483BC3">
        <w:t xml:space="preserve">ёме и в денежном  выражении на отчётную дату составили </w:t>
      </w:r>
      <w:r w:rsidR="00805281">
        <w:t>78,2</w:t>
      </w:r>
      <w:r w:rsidR="00FC3D95" w:rsidRPr="00483BC3">
        <w:t xml:space="preserve"> млн.руб.( 20</w:t>
      </w:r>
      <w:r w:rsidRPr="00483BC3">
        <w:t>1</w:t>
      </w:r>
      <w:r w:rsidR="00EB1310" w:rsidRPr="00483BC3">
        <w:t>1</w:t>
      </w:r>
      <w:r w:rsidR="00FC3D95" w:rsidRPr="00483BC3">
        <w:t xml:space="preserve"> год </w:t>
      </w:r>
      <w:r w:rsidR="00EB1310" w:rsidRPr="00483BC3">
        <w:t>–</w:t>
      </w:r>
      <w:r w:rsidR="00DA099A" w:rsidRPr="00483BC3">
        <w:t xml:space="preserve"> </w:t>
      </w:r>
      <w:r w:rsidR="00805281">
        <w:t>85,4</w:t>
      </w:r>
      <w:r w:rsidR="00A552BA" w:rsidRPr="00483BC3">
        <w:t xml:space="preserve"> </w:t>
      </w:r>
      <w:r w:rsidR="00FC3D95" w:rsidRPr="00483BC3">
        <w:t>млн.руб.)</w:t>
      </w:r>
      <w:r w:rsidR="00FC3D95" w:rsidRPr="00995DE0">
        <w:t xml:space="preserve"> </w:t>
      </w:r>
    </w:p>
    <w:p w:rsidR="00C43525" w:rsidRDefault="00FC3D95" w:rsidP="009E6FA2">
      <w:pPr>
        <w:jc w:val="both"/>
      </w:pPr>
      <w:r w:rsidRPr="00995DE0">
        <w:tab/>
        <w:t>В рамках областной целевой программы «Снижение напряжённости на рынке тр</w:t>
      </w:r>
      <w:r w:rsidRPr="00995DE0">
        <w:t>у</w:t>
      </w:r>
      <w:r w:rsidRPr="00995DE0">
        <w:t>да в Новгородской области</w:t>
      </w:r>
      <w:r w:rsidR="008F74FD" w:rsidRPr="00995DE0">
        <w:t>» в муниципальном районе предприняты серьёзные меры по снижению безработицы.</w:t>
      </w:r>
      <w:r w:rsidR="00D92C77" w:rsidRPr="00995DE0">
        <w:t xml:space="preserve"> </w:t>
      </w:r>
      <w:r w:rsidR="00E12360" w:rsidRPr="00995DE0">
        <w:t>Через интернет-ресурсы, СМИ, средства телефонной связи н</w:t>
      </w:r>
      <w:r w:rsidR="00D92C77" w:rsidRPr="00995DE0">
        <w:t>ас</w:t>
      </w:r>
      <w:r w:rsidR="00D92C77" w:rsidRPr="00995DE0">
        <w:t>е</w:t>
      </w:r>
      <w:r w:rsidR="00D92C77" w:rsidRPr="00995DE0">
        <w:t xml:space="preserve">ление постоянно информируется о вакансиях, </w:t>
      </w:r>
      <w:r w:rsidR="009E6FA2" w:rsidRPr="00995DE0">
        <w:t xml:space="preserve">о </w:t>
      </w:r>
      <w:r w:rsidR="00D92C77" w:rsidRPr="00995DE0">
        <w:t>проведении ярм</w:t>
      </w:r>
      <w:r w:rsidR="009E6FA2" w:rsidRPr="00995DE0">
        <w:t xml:space="preserve">арок, профессиональном обучении и </w:t>
      </w:r>
      <w:r w:rsidR="00D92C77" w:rsidRPr="00995DE0">
        <w:t xml:space="preserve"> профориентации</w:t>
      </w:r>
      <w:r w:rsidR="00BE2BD9" w:rsidRPr="00995DE0">
        <w:t>.</w:t>
      </w:r>
      <w:r w:rsidR="00D92C77" w:rsidRPr="00995DE0">
        <w:t xml:space="preserve">  </w:t>
      </w:r>
      <w:r w:rsidR="00E12360" w:rsidRPr="00995DE0">
        <w:t>Проведены выездные мероприятия по информированию о положении на рынке труда и востребованных</w:t>
      </w:r>
      <w:r w:rsidR="005156DA" w:rsidRPr="00995DE0">
        <w:t xml:space="preserve"> </w:t>
      </w:r>
      <w:r w:rsidR="00E12360" w:rsidRPr="00995DE0">
        <w:t>вакансиях среди выпускников</w:t>
      </w:r>
      <w:r w:rsidR="005156DA" w:rsidRPr="00995DE0">
        <w:t xml:space="preserve"> и граждан, отбывающих наказание в исправительном учреждении. Проведено </w:t>
      </w:r>
      <w:r w:rsidR="00CD49E1" w:rsidRPr="00995DE0">
        <w:t>3</w:t>
      </w:r>
      <w:r w:rsidR="005156DA" w:rsidRPr="00995DE0">
        <w:t xml:space="preserve"> мини-ярмарки вака</w:t>
      </w:r>
      <w:r w:rsidR="005156DA" w:rsidRPr="00995DE0">
        <w:t>н</w:t>
      </w:r>
      <w:r w:rsidR="005156DA" w:rsidRPr="00995DE0">
        <w:t xml:space="preserve">сий для инвалидов и безработных граждан. </w:t>
      </w:r>
    </w:p>
    <w:p w:rsidR="00D86E3B" w:rsidRPr="00D86E3B" w:rsidRDefault="00D86E3B" w:rsidP="00D86E3B">
      <w:pPr>
        <w:pStyle w:val="BodyText2"/>
        <w:ind w:firstLine="708"/>
      </w:pPr>
      <w:r w:rsidRPr="00D86E3B">
        <w:t>Текущая ситуация на рынке труда района характеризуется снижением уровня рег</w:t>
      </w:r>
      <w:r w:rsidRPr="00D86E3B">
        <w:t>и</w:t>
      </w:r>
      <w:r w:rsidRPr="00D86E3B">
        <w:t xml:space="preserve">стрируемой безработицы с 0,6% (на 01.01.2012) до 0,52% (на 01.01.2013), уменьшением численности безработных граждан на  12,9%. </w:t>
      </w:r>
    </w:p>
    <w:p w:rsidR="00D86E3B" w:rsidRPr="00D86E3B" w:rsidRDefault="00D86E3B" w:rsidP="00D86E3B">
      <w:pPr>
        <w:pStyle w:val="2"/>
        <w:spacing w:line="200" w:lineRule="atLeast"/>
        <w:ind w:firstLine="851"/>
      </w:pPr>
      <w:r w:rsidRPr="00D86E3B">
        <w:t xml:space="preserve">В </w:t>
      </w:r>
      <w:r w:rsidRPr="00D86E3B">
        <w:rPr>
          <w:color w:val="000000"/>
        </w:rPr>
        <w:t xml:space="preserve">2012 </w:t>
      </w:r>
      <w:r w:rsidRPr="00D86E3B">
        <w:t xml:space="preserve">году в службу занятости населения </w:t>
      </w:r>
      <w:r w:rsidRPr="00D86E3B">
        <w:rPr>
          <w:lang/>
        </w:rPr>
        <w:t>Валдайского района</w:t>
      </w:r>
      <w:r w:rsidRPr="00D86E3B">
        <w:t xml:space="preserve"> обратилось в ц</w:t>
      </w:r>
      <w:r w:rsidRPr="00D86E3B">
        <w:t>е</w:t>
      </w:r>
      <w:r w:rsidRPr="00D86E3B">
        <w:t xml:space="preserve">лях поиска работы 403 человека, что  на 120 человека (23%) меньше, чем в </w:t>
      </w:r>
      <w:r w:rsidRPr="00D86E3B">
        <w:rPr>
          <w:spacing w:val="4"/>
        </w:rPr>
        <w:t>2011</w:t>
      </w:r>
      <w:r w:rsidRPr="00D86E3B">
        <w:t xml:space="preserve"> году (523 чел.). Из числа обратившихся граждан нашли  работу (доходное занятие) 219 человек или 54,3% (в </w:t>
      </w:r>
      <w:r w:rsidRPr="00D86E3B">
        <w:rPr>
          <w:spacing w:val="4"/>
        </w:rPr>
        <w:t xml:space="preserve">2011 </w:t>
      </w:r>
      <w:r w:rsidRPr="00D86E3B">
        <w:t>году  - 358 человек, 68,5%).</w:t>
      </w:r>
    </w:p>
    <w:p w:rsidR="00D86E3B" w:rsidRPr="00D86E3B" w:rsidRDefault="00D86E3B" w:rsidP="00D86E3B">
      <w:pPr>
        <w:ind w:firstLine="709"/>
        <w:jc w:val="both"/>
      </w:pPr>
      <w:r w:rsidRPr="00D86E3B">
        <w:lastRenderedPageBreak/>
        <w:t>С начала 2012 года в центр занятости района обратилось 99 работодателей, з</w:t>
      </w:r>
      <w:r w:rsidRPr="00D86E3B">
        <w:t>а</w:t>
      </w:r>
      <w:r w:rsidRPr="00D86E3B">
        <w:t>явивших сведения о потребности в работниках для замещения св</w:t>
      </w:r>
      <w:r w:rsidRPr="00D86E3B">
        <w:t>о</w:t>
      </w:r>
      <w:r w:rsidRPr="00D86E3B">
        <w:t>бодных рабочих мест. Наибольшее количество работодателей обратилось из таких сфер экономической деятел</w:t>
      </w:r>
      <w:r w:rsidRPr="00D86E3B">
        <w:t>ь</w:t>
      </w:r>
      <w:r w:rsidRPr="00D86E3B">
        <w:t>ности как:</w:t>
      </w:r>
      <w:r w:rsidRPr="00D86E3B">
        <w:rPr>
          <w:color w:val="000000"/>
        </w:rPr>
        <w:t xml:space="preserve"> оптовая и розничная торговля; ремонт автотранспортных средств, мотоциклов, бытовых изделий и предметов личного использования (13,1%);</w:t>
      </w:r>
      <w:r w:rsidRPr="00D86E3B">
        <w:t xml:space="preserve"> о</w:t>
      </w:r>
      <w:r w:rsidRPr="00D86E3B">
        <w:rPr>
          <w:color w:val="000000"/>
        </w:rPr>
        <w:t xml:space="preserve">бразование </w:t>
      </w:r>
      <w:r w:rsidRPr="00D86E3B">
        <w:t>(12,1%); го</w:t>
      </w:r>
      <w:r w:rsidRPr="00D86E3B">
        <w:t>с</w:t>
      </w:r>
      <w:r w:rsidRPr="00D86E3B">
        <w:t>тиница и рест</w:t>
      </w:r>
      <w:r w:rsidRPr="00D86E3B">
        <w:t>о</w:t>
      </w:r>
      <w:r w:rsidRPr="00D86E3B">
        <w:t>раны (9,1%);здравоохранение и предоставление социальных услуг (9,1%).</w:t>
      </w:r>
    </w:p>
    <w:p w:rsidR="00D86E3B" w:rsidRPr="00D86E3B" w:rsidRDefault="00D86E3B" w:rsidP="00D86E3B">
      <w:pPr>
        <w:ind w:firstLine="709"/>
        <w:jc w:val="both"/>
      </w:pPr>
      <w:r w:rsidRPr="00D86E3B">
        <w:t xml:space="preserve">Число вакансий, заявленных работодателями в 2012 году, составило 1038 единиц, что на  9,2 % меньше чем в 2011 году. </w:t>
      </w:r>
    </w:p>
    <w:p w:rsidR="00D86E3B" w:rsidRPr="00D86E3B" w:rsidRDefault="00D86E3B" w:rsidP="00D86E3B">
      <w:pPr>
        <w:ind w:firstLine="709"/>
        <w:jc w:val="both"/>
        <w:rPr>
          <w:lang w:eastAsia="ar-SA"/>
        </w:rPr>
      </w:pPr>
      <w:r w:rsidRPr="00D86E3B">
        <w:t>Профессионально-квалификационная структура заявленной работодателями п</w:t>
      </w:r>
      <w:r w:rsidRPr="00D86E3B">
        <w:t>о</w:t>
      </w:r>
      <w:r w:rsidRPr="00D86E3B">
        <w:t>требности в работниках, сохраняет тенденцию прошлых лет по с</w:t>
      </w:r>
      <w:r w:rsidRPr="00D86E3B">
        <w:t>о</w:t>
      </w:r>
      <w:r w:rsidRPr="00D86E3B">
        <w:t xml:space="preserve">отношению потребности в рабочих, ИТР и служащих. </w:t>
      </w:r>
      <w:r w:rsidR="00986A00">
        <w:t>Д</w:t>
      </w:r>
      <w:r w:rsidRPr="00D86E3B">
        <w:rPr>
          <w:lang w:eastAsia="ar-SA"/>
        </w:rPr>
        <w:t>оля вакансий по рабочим профессиям составляет 76%, в</w:t>
      </w:r>
      <w:r w:rsidRPr="00D86E3B">
        <w:rPr>
          <w:lang w:eastAsia="ar-SA"/>
        </w:rPr>
        <w:t>а</w:t>
      </w:r>
      <w:r w:rsidRPr="00D86E3B">
        <w:rPr>
          <w:lang w:eastAsia="ar-SA"/>
        </w:rPr>
        <w:t xml:space="preserve">кансий для ИТР и служащих –24% </w:t>
      </w:r>
    </w:p>
    <w:p w:rsidR="0069719C" w:rsidRPr="00995DE0" w:rsidRDefault="00D86E3B" w:rsidP="009E767D">
      <w:pPr>
        <w:tabs>
          <w:tab w:val="left" w:pos="709"/>
        </w:tabs>
        <w:jc w:val="both"/>
      </w:pPr>
      <w:r w:rsidRPr="00D86E3B">
        <w:tab/>
      </w:r>
      <w:r w:rsidR="00336E81">
        <w:rPr>
          <w:noProof/>
          <w:sz w:val="28"/>
          <w:szCs w:val="28"/>
        </w:rPr>
        <w:drawing>
          <wp:inline distT="0" distB="0" distL="0" distR="0">
            <wp:extent cx="5099050" cy="24003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73B9" w:rsidRPr="00995DE0" w:rsidRDefault="006773B9" w:rsidP="00D93937">
      <w:pPr>
        <w:jc w:val="center"/>
        <w:rPr>
          <w:b/>
        </w:rPr>
      </w:pPr>
    </w:p>
    <w:p w:rsidR="0069719C" w:rsidRPr="00C32308" w:rsidRDefault="00C07444" w:rsidP="00D93937">
      <w:pPr>
        <w:jc w:val="center"/>
        <w:rPr>
          <w:b/>
          <w:sz w:val="28"/>
          <w:szCs w:val="28"/>
        </w:rPr>
      </w:pPr>
      <w:r w:rsidRPr="00C32308">
        <w:rPr>
          <w:b/>
          <w:sz w:val="28"/>
          <w:szCs w:val="28"/>
        </w:rPr>
        <w:t>ФИНАНСОВАЯ  СФЕРА</w:t>
      </w:r>
    </w:p>
    <w:p w:rsidR="00C07444" w:rsidRPr="00C32308" w:rsidRDefault="00C07444" w:rsidP="00D93937">
      <w:pPr>
        <w:jc w:val="center"/>
        <w:rPr>
          <w:b/>
          <w:sz w:val="28"/>
          <w:szCs w:val="28"/>
        </w:rPr>
      </w:pPr>
    </w:p>
    <w:p w:rsidR="00C07444" w:rsidRPr="00995DE0" w:rsidRDefault="00C07444" w:rsidP="004B234B">
      <w:pPr>
        <w:jc w:val="both"/>
      </w:pPr>
      <w:r w:rsidRPr="00995DE0">
        <w:rPr>
          <w:b/>
        </w:rPr>
        <w:t xml:space="preserve">            </w:t>
      </w:r>
      <w:r w:rsidRPr="00995DE0">
        <w:t xml:space="preserve">Консолидированный бюджет муниципального района за </w:t>
      </w:r>
      <w:r w:rsidR="00762A1B" w:rsidRPr="00995DE0">
        <w:t xml:space="preserve"> </w:t>
      </w:r>
      <w:r w:rsidRPr="00995DE0">
        <w:t>201</w:t>
      </w:r>
      <w:r w:rsidR="00592F47" w:rsidRPr="00995DE0">
        <w:t>2</w:t>
      </w:r>
      <w:r w:rsidRPr="00995DE0">
        <w:t xml:space="preserve"> год исполнен по д</w:t>
      </w:r>
      <w:r w:rsidRPr="00995DE0">
        <w:t>о</w:t>
      </w:r>
      <w:r w:rsidRPr="00995DE0">
        <w:t>ходам на</w:t>
      </w:r>
      <w:r w:rsidR="0031571C">
        <w:t xml:space="preserve"> </w:t>
      </w:r>
      <w:r w:rsidR="00DE0B5A">
        <w:t>99</w:t>
      </w:r>
      <w:r w:rsidR="00592F47" w:rsidRPr="00995DE0">
        <w:t xml:space="preserve"> </w:t>
      </w:r>
      <w:r w:rsidRPr="00995DE0">
        <w:t>%.</w:t>
      </w:r>
      <w:r w:rsidR="00762A1B" w:rsidRPr="00995DE0">
        <w:t xml:space="preserve"> к годовому плану.</w:t>
      </w:r>
      <w:r w:rsidRPr="00995DE0">
        <w:t xml:space="preserve"> По собственным доходам план 201</w:t>
      </w:r>
      <w:r w:rsidR="00592F47" w:rsidRPr="00995DE0">
        <w:t>2</w:t>
      </w:r>
      <w:r w:rsidRPr="00995DE0">
        <w:t xml:space="preserve"> года выпо</w:t>
      </w:r>
      <w:r w:rsidRPr="00995DE0">
        <w:t>л</w:t>
      </w:r>
      <w:r w:rsidRPr="00995DE0">
        <w:t xml:space="preserve">нен на </w:t>
      </w:r>
      <w:r w:rsidR="0031571C" w:rsidRPr="00483BC3">
        <w:t>9</w:t>
      </w:r>
      <w:r w:rsidR="00DE0B5A">
        <w:t>8</w:t>
      </w:r>
      <w:r w:rsidR="0031571C" w:rsidRPr="00483BC3">
        <w:t>,</w:t>
      </w:r>
      <w:r w:rsidR="00DE0B5A">
        <w:t>9</w:t>
      </w:r>
      <w:r w:rsidR="007437FD" w:rsidRPr="00483BC3">
        <w:t xml:space="preserve"> </w:t>
      </w:r>
      <w:r w:rsidR="008F6918" w:rsidRPr="00483BC3">
        <w:t>%,</w:t>
      </w:r>
      <w:r w:rsidR="008F6918" w:rsidRPr="00995DE0">
        <w:t xml:space="preserve"> </w:t>
      </w:r>
      <w:r w:rsidRPr="00995DE0">
        <w:t xml:space="preserve">При </w:t>
      </w:r>
      <w:r w:rsidR="008F6918" w:rsidRPr="00995DE0">
        <w:t xml:space="preserve">годовом </w:t>
      </w:r>
      <w:r w:rsidRPr="00995DE0">
        <w:t xml:space="preserve">плане </w:t>
      </w:r>
      <w:r w:rsidR="00D05797" w:rsidRPr="00995DE0">
        <w:t>2</w:t>
      </w:r>
      <w:r w:rsidRPr="00995DE0">
        <w:t>1</w:t>
      </w:r>
      <w:r w:rsidR="00D05797" w:rsidRPr="00995DE0">
        <w:t>7,3</w:t>
      </w:r>
      <w:r w:rsidRPr="00995DE0">
        <w:t xml:space="preserve"> млн.руб. поступило </w:t>
      </w:r>
      <w:r w:rsidR="00DE0B5A">
        <w:t>214,9</w:t>
      </w:r>
      <w:r w:rsidRPr="00995DE0">
        <w:t xml:space="preserve"> млн.руб. Сумма безвозмез</w:t>
      </w:r>
      <w:r w:rsidRPr="00995DE0">
        <w:t>д</w:t>
      </w:r>
      <w:r w:rsidRPr="00995DE0">
        <w:t>ных поступлений из областного бюджета (субвенции, субс</w:t>
      </w:r>
      <w:r w:rsidRPr="00995DE0">
        <w:t>и</w:t>
      </w:r>
      <w:r w:rsidRPr="00995DE0">
        <w:t xml:space="preserve">дии) составила </w:t>
      </w:r>
      <w:r w:rsidR="00DE0B5A">
        <w:t>470,1</w:t>
      </w:r>
      <w:r w:rsidRPr="00995DE0">
        <w:t xml:space="preserve"> млн.рублей, или </w:t>
      </w:r>
      <w:r w:rsidR="00DE0B5A">
        <w:t>99</w:t>
      </w:r>
      <w:r w:rsidR="008F6918" w:rsidRPr="00995DE0">
        <w:t xml:space="preserve"> </w:t>
      </w:r>
      <w:r w:rsidRPr="00995DE0">
        <w:t>% к плану 201</w:t>
      </w:r>
      <w:r w:rsidR="00D05797" w:rsidRPr="00995DE0">
        <w:t>2</w:t>
      </w:r>
      <w:r w:rsidRPr="00995DE0">
        <w:t xml:space="preserve"> г</w:t>
      </w:r>
      <w:r w:rsidRPr="00995DE0">
        <w:t>о</w:t>
      </w:r>
      <w:r w:rsidRPr="00995DE0">
        <w:t>да.</w:t>
      </w:r>
    </w:p>
    <w:tbl>
      <w:tblPr>
        <w:tblStyle w:val="a3"/>
        <w:tblW w:w="8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3191"/>
      </w:tblGrid>
      <w:tr w:rsidR="00E26EE5" w:rsidRPr="006F6648">
        <w:tc>
          <w:tcPr>
            <w:tcW w:w="8879" w:type="dxa"/>
            <w:gridSpan w:val="3"/>
          </w:tcPr>
          <w:p w:rsidR="004221A8" w:rsidRPr="006F6648" w:rsidRDefault="00C07444" w:rsidP="00C07444">
            <w:r w:rsidRPr="006F6648">
              <w:t xml:space="preserve">            </w:t>
            </w:r>
          </w:p>
          <w:p w:rsidR="004221A8" w:rsidRPr="006F6648" w:rsidRDefault="00E26EE5" w:rsidP="00C07444">
            <w:r w:rsidRPr="006F6648">
              <w:t xml:space="preserve">         Выполнен</w:t>
            </w:r>
            <w:r w:rsidR="004221A8" w:rsidRPr="006F6648">
              <w:t xml:space="preserve">ие </w:t>
            </w:r>
            <w:r w:rsidRPr="006F6648">
              <w:t xml:space="preserve"> </w:t>
            </w:r>
            <w:r w:rsidR="00DE0B5A">
              <w:t xml:space="preserve">годового </w:t>
            </w:r>
            <w:r w:rsidRPr="006F6648">
              <w:t>план</w:t>
            </w:r>
            <w:r w:rsidR="004221A8" w:rsidRPr="006F6648">
              <w:t>а</w:t>
            </w:r>
            <w:r w:rsidR="0031571C" w:rsidRPr="006F6648">
              <w:t xml:space="preserve"> </w:t>
            </w:r>
            <w:r w:rsidRPr="006F6648">
              <w:t xml:space="preserve"> по собственным доходам </w:t>
            </w:r>
            <w:r w:rsidR="004221A8" w:rsidRPr="006F6648">
              <w:t xml:space="preserve">составило </w:t>
            </w:r>
            <w:r w:rsidRPr="006F6648">
              <w:t>:</w:t>
            </w:r>
          </w:p>
          <w:p w:rsidR="004221A8" w:rsidRPr="006F6648" w:rsidRDefault="004221A8" w:rsidP="00C07444"/>
        </w:tc>
      </w:tr>
      <w:tr w:rsidR="00E26EE5" w:rsidRPr="006F6648">
        <w:tc>
          <w:tcPr>
            <w:tcW w:w="4428" w:type="dxa"/>
          </w:tcPr>
          <w:p w:rsidR="00E26EE5" w:rsidRPr="006F6648" w:rsidRDefault="00E26EE5" w:rsidP="00C07444">
            <w:r w:rsidRPr="006F6648">
              <w:t>- налог на доходы физич</w:t>
            </w:r>
            <w:r w:rsidRPr="006F6648">
              <w:t>е</w:t>
            </w:r>
            <w:r w:rsidRPr="006F6648">
              <w:t>ских лиц</w:t>
            </w:r>
          </w:p>
        </w:tc>
        <w:tc>
          <w:tcPr>
            <w:tcW w:w="1260" w:type="dxa"/>
          </w:tcPr>
          <w:p w:rsidR="00E26EE5" w:rsidRPr="006F6648" w:rsidRDefault="00DE0B5A" w:rsidP="00C07444">
            <w:r>
              <w:t>99,1</w:t>
            </w:r>
            <w:r w:rsidR="004221A8" w:rsidRPr="006F6648">
              <w:t xml:space="preserve"> </w:t>
            </w:r>
            <w:r w:rsidR="00E26EE5" w:rsidRPr="006F6648">
              <w:t>%</w:t>
            </w:r>
          </w:p>
        </w:tc>
        <w:tc>
          <w:tcPr>
            <w:tcW w:w="3191" w:type="dxa"/>
          </w:tcPr>
          <w:p w:rsidR="00E26EE5" w:rsidRPr="006F6648" w:rsidRDefault="00E26EE5" w:rsidP="00C07444"/>
        </w:tc>
      </w:tr>
      <w:tr w:rsidR="00C07444" w:rsidRPr="006F6648">
        <w:tc>
          <w:tcPr>
            <w:tcW w:w="4428" w:type="dxa"/>
          </w:tcPr>
          <w:p w:rsidR="00C07444" w:rsidRPr="006F6648" w:rsidRDefault="00C07444" w:rsidP="00C07444">
            <w:r w:rsidRPr="006F6648">
              <w:t>- единый налог на вмененный доход</w:t>
            </w:r>
          </w:p>
        </w:tc>
        <w:tc>
          <w:tcPr>
            <w:tcW w:w="1260" w:type="dxa"/>
          </w:tcPr>
          <w:p w:rsidR="00C07444" w:rsidRPr="006F6648" w:rsidRDefault="00DE0B5A" w:rsidP="00C07444">
            <w:r>
              <w:t>94,6</w:t>
            </w:r>
            <w:r w:rsidR="004221A8" w:rsidRPr="006F6648">
              <w:t xml:space="preserve"> </w:t>
            </w:r>
            <w:r w:rsidR="00C07444" w:rsidRPr="006F6648">
              <w:t>%</w:t>
            </w:r>
          </w:p>
        </w:tc>
        <w:tc>
          <w:tcPr>
            <w:tcW w:w="3191" w:type="dxa"/>
          </w:tcPr>
          <w:p w:rsidR="00C07444" w:rsidRPr="006F6648" w:rsidRDefault="00C07444" w:rsidP="00C07444"/>
        </w:tc>
      </w:tr>
      <w:tr w:rsidR="00C07444" w:rsidRPr="006F6648">
        <w:tc>
          <w:tcPr>
            <w:tcW w:w="4428" w:type="dxa"/>
          </w:tcPr>
          <w:p w:rsidR="00C07444" w:rsidRPr="006F6648" w:rsidRDefault="00C07444" w:rsidP="00C07444">
            <w:r w:rsidRPr="006F6648">
              <w:t>- земельный налог</w:t>
            </w:r>
          </w:p>
        </w:tc>
        <w:tc>
          <w:tcPr>
            <w:tcW w:w="1260" w:type="dxa"/>
          </w:tcPr>
          <w:p w:rsidR="00C07444" w:rsidRPr="006F6648" w:rsidRDefault="00DE0B5A" w:rsidP="00C07444">
            <w:r>
              <w:t>97,2</w:t>
            </w:r>
            <w:r w:rsidR="0031571C" w:rsidRPr="006F6648">
              <w:t xml:space="preserve"> </w:t>
            </w:r>
            <w:r w:rsidR="00C07444" w:rsidRPr="006F6648">
              <w:t>%</w:t>
            </w:r>
          </w:p>
        </w:tc>
        <w:tc>
          <w:tcPr>
            <w:tcW w:w="3191" w:type="dxa"/>
          </w:tcPr>
          <w:p w:rsidR="00C07444" w:rsidRPr="006F6648" w:rsidRDefault="00C07444" w:rsidP="00C07444"/>
        </w:tc>
      </w:tr>
      <w:tr w:rsidR="00C07444" w:rsidRPr="006F6648">
        <w:tc>
          <w:tcPr>
            <w:tcW w:w="4428" w:type="dxa"/>
          </w:tcPr>
          <w:p w:rsidR="00C07444" w:rsidRPr="006F6648" w:rsidRDefault="00C07444" w:rsidP="00C07444">
            <w:r w:rsidRPr="006F6648">
              <w:t>- государственная пошлина</w:t>
            </w:r>
          </w:p>
        </w:tc>
        <w:tc>
          <w:tcPr>
            <w:tcW w:w="1260" w:type="dxa"/>
          </w:tcPr>
          <w:p w:rsidR="00C07444" w:rsidRPr="006F6648" w:rsidRDefault="00C07444" w:rsidP="00C07444">
            <w:r w:rsidRPr="006F6648">
              <w:t>1</w:t>
            </w:r>
            <w:r w:rsidR="00DE0B5A">
              <w:t>17,1</w:t>
            </w:r>
            <w:r w:rsidR="0031571C" w:rsidRPr="006F6648">
              <w:t xml:space="preserve"> </w:t>
            </w:r>
            <w:r w:rsidRPr="006F6648">
              <w:t>%</w:t>
            </w:r>
          </w:p>
        </w:tc>
        <w:tc>
          <w:tcPr>
            <w:tcW w:w="3191" w:type="dxa"/>
          </w:tcPr>
          <w:p w:rsidR="00C07444" w:rsidRPr="006F6648" w:rsidRDefault="00C07444" w:rsidP="00C07444"/>
        </w:tc>
      </w:tr>
      <w:tr w:rsidR="00C07444" w:rsidRPr="006F6648">
        <w:tc>
          <w:tcPr>
            <w:tcW w:w="4428" w:type="dxa"/>
          </w:tcPr>
          <w:p w:rsidR="00C07444" w:rsidRPr="006F6648" w:rsidRDefault="00C07444" w:rsidP="00C07444">
            <w:r w:rsidRPr="006F6648">
              <w:t>- налог на имущество физических лиц</w:t>
            </w:r>
          </w:p>
        </w:tc>
        <w:tc>
          <w:tcPr>
            <w:tcW w:w="1260" w:type="dxa"/>
          </w:tcPr>
          <w:p w:rsidR="00C07444" w:rsidRPr="006F6648" w:rsidRDefault="00DE0B5A" w:rsidP="00C07444">
            <w:r>
              <w:t>79,0</w:t>
            </w:r>
            <w:r w:rsidR="004221A8" w:rsidRPr="006F6648">
              <w:t xml:space="preserve"> %</w:t>
            </w:r>
          </w:p>
        </w:tc>
        <w:tc>
          <w:tcPr>
            <w:tcW w:w="3191" w:type="dxa"/>
          </w:tcPr>
          <w:p w:rsidR="00C07444" w:rsidRPr="006F6648" w:rsidRDefault="00C07444" w:rsidP="00C07444"/>
        </w:tc>
      </w:tr>
      <w:tr w:rsidR="00C07444" w:rsidRPr="006F6648">
        <w:tc>
          <w:tcPr>
            <w:tcW w:w="4428" w:type="dxa"/>
          </w:tcPr>
          <w:p w:rsidR="00C07444" w:rsidRPr="006F6648" w:rsidRDefault="00C07444" w:rsidP="00C07444">
            <w:r w:rsidRPr="006F6648">
              <w:t>- аренда земли</w:t>
            </w:r>
          </w:p>
        </w:tc>
        <w:tc>
          <w:tcPr>
            <w:tcW w:w="1260" w:type="dxa"/>
          </w:tcPr>
          <w:p w:rsidR="00C07444" w:rsidRPr="006F6648" w:rsidRDefault="00DE0B5A" w:rsidP="00C07444">
            <w:r>
              <w:t xml:space="preserve">87,4 </w:t>
            </w:r>
            <w:r w:rsidR="00C07444" w:rsidRPr="006F6648">
              <w:t>%</w:t>
            </w:r>
          </w:p>
        </w:tc>
        <w:tc>
          <w:tcPr>
            <w:tcW w:w="3191" w:type="dxa"/>
          </w:tcPr>
          <w:p w:rsidR="00C07444" w:rsidRPr="006F6648" w:rsidRDefault="00C07444" w:rsidP="00C07444"/>
        </w:tc>
      </w:tr>
      <w:tr w:rsidR="00C07444" w:rsidRPr="006F6648">
        <w:tc>
          <w:tcPr>
            <w:tcW w:w="4428" w:type="dxa"/>
          </w:tcPr>
          <w:p w:rsidR="00C07444" w:rsidRPr="006F6648" w:rsidRDefault="00C07444" w:rsidP="00C07444">
            <w:r w:rsidRPr="006F6648">
              <w:t>- аренда имущества</w:t>
            </w:r>
          </w:p>
        </w:tc>
        <w:tc>
          <w:tcPr>
            <w:tcW w:w="1260" w:type="dxa"/>
          </w:tcPr>
          <w:p w:rsidR="00C07444" w:rsidRPr="006F6648" w:rsidRDefault="00DE0B5A" w:rsidP="00C07444">
            <w:r>
              <w:t>107,2</w:t>
            </w:r>
            <w:r w:rsidR="004221A8" w:rsidRPr="006F6648">
              <w:t xml:space="preserve"> </w:t>
            </w:r>
            <w:r w:rsidR="00C07444" w:rsidRPr="006F6648">
              <w:t>%</w:t>
            </w:r>
          </w:p>
        </w:tc>
        <w:tc>
          <w:tcPr>
            <w:tcW w:w="3191" w:type="dxa"/>
          </w:tcPr>
          <w:p w:rsidR="00C07444" w:rsidRPr="006F6648" w:rsidRDefault="00C07444" w:rsidP="00C07444"/>
        </w:tc>
      </w:tr>
      <w:tr w:rsidR="00C07444" w:rsidRPr="006F6648">
        <w:tc>
          <w:tcPr>
            <w:tcW w:w="4428" w:type="dxa"/>
          </w:tcPr>
          <w:p w:rsidR="00C07444" w:rsidRPr="006F6648" w:rsidRDefault="00C07444" w:rsidP="00C07444">
            <w:r w:rsidRPr="006F6648">
              <w:t xml:space="preserve">- </w:t>
            </w:r>
            <w:r w:rsidR="00E26EE5" w:rsidRPr="006F6648">
              <w:t>штрафы</w:t>
            </w:r>
          </w:p>
        </w:tc>
        <w:tc>
          <w:tcPr>
            <w:tcW w:w="1260" w:type="dxa"/>
          </w:tcPr>
          <w:p w:rsidR="00C07444" w:rsidRPr="006F6648" w:rsidRDefault="00DE0B5A" w:rsidP="00C07444">
            <w:r>
              <w:t>92,1</w:t>
            </w:r>
            <w:r w:rsidR="004221A8" w:rsidRPr="006F6648">
              <w:t xml:space="preserve"> </w:t>
            </w:r>
            <w:r w:rsidR="00E26EE5" w:rsidRPr="006F6648">
              <w:t>%</w:t>
            </w:r>
          </w:p>
        </w:tc>
        <w:tc>
          <w:tcPr>
            <w:tcW w:w="3191" w:type="dxa"/>
          </w:tcPr>
          <w:p w:rsidR="00C07444" w:rsidRPr="006F6648" w:rsidRDefault="00C07444" w:rsidP="00C07444"/>
        </w:tc>
      </w:tr>
      <w:tr w:rsidR="00C07444" w:rsidRPr="006F6648">
        <w:tc>
          <w:tcPr>
            <w:tcW w:w="4428" w:type="dxa"/>
          </w:tcPr>
          <w:p w:rsidR="00C07444" w:rsidRPr="006F6648" w:rsidRDefault="00E26EE5" w:rsidP="00C07444">
            <w:r w:rsidRPr="006F6648">
              <w:t>- плат</w:t>
            </w:r>
            <w:r w:rsidR="002A47DE" w:rsidRPr="006F6648">
              <w:t>а за негативное воздействие на окружающую среду</w:t>
            </w:r>
          </w:p>
        </w:tc>
        <w:tc>
          <w:tcPr>
            <w:tcW w:w="1260" w:type="dxa"/>
          </w:tcPr>
          <w:p w:rsidR="00C07444" w:rsidRPr="006F6648" w:rsidRDefault="00C07444" w:rsidP="00C07444"/>
          <w:p w:rsidR="002A47DE" w:rsidRPr="006F6648" w:rsidRDefault="00DE0B5A" w:rsidP="00C07444">
            <w:r>
              <w:t>65,0</w:t>
            </w:r>
            <w:r w:rsidR="004221A8" w:rsidRPr="006F6648">
              <w:t xml:space="preserve"> </w:t>
            </w:r>
            <w:r w:rsidR="002A47DE" w:rsidRPr="006F6648">
              <w:t>%</w:t>
            </w:r>
          </w:p>
        </w:tc>
        <w:tc>
          <w:tcPr>
            <w:tcW w:w="3191" w:type="dxa"/>
          </w:tcPr>
          <w:p w:rsidR="00C07444" w:rsidRPr="006F6648" w:rsidRDefault="00C07444" w:rsidP="00C07444"/>
        </w:tc>
      </w:tr>
      <w:tr w:rsidR="00C07444" w:rsidRPr="006F6648">
        <w:tc>
          <w:tcPr>
            <w:tcW w:w="4428" w:type="dxa"/>
          </w:tcPr>
          <w:p w:rsidR="00C07444" w:rsidRPr="006F6648" w:rsidRDefault="00E26EE5" w:rsidP="00C07444">
            <w:r w:rsidRPr="006F6648">
              <w:t>- продажа  имущества</w:t>
            </w:r>
          </w:p>
        </w:tc>
        <w:tc>
          <w:tcPr>
            <w:tcW w:w="1260" w:type="dxa"/>
          </w:tcPr>
          <w:p w:rsidR="00C07444" w:rsidRPr="006F6648" w:rsidRDefault="0031571C" w:rsidP="00C07444">
            <w:r w:rsidRPr="006F6648">
              <w:t>10</w:t>
            </w:r>
            <w:r w:rsidR="00DE0B5A">
              <w:t>1,4</w:t>
            </w:r>
            <w:r w:rsidR="000E6AFC" w:rsidRPr="006F6648">
              <w:t xml:space="preserve"> </w:t>
            </w:r>
            <w:r w:rsidR="00E26EE5" w:rsidRPr="006F6648">
              <w:t>%</w:t>
            </w:r>
          </w:p>
        </w:tc>
        <w:tc>
          <w:tcPr>
            <w:tcW w:w="3191" w:type="dxa"/>
          </w:tcPr>
          <w:p w:rsidR="00C07444" w:rsidRPr="006F6648" w:rsidRDefault="00E26EE5" w:rsidP="00C07444">
            <w:r w:rsidRPr="006F6648">
              <w:t xml:space="preserve">в сумме </w:t>
            </w:r>
            <w:r w:rsidR="00DE0B5A">
              <w:t>8,4 млн</w:t>
            </w:r>
            <w:r w:rsidRPr="006F6648">
              <w:t>.руб.</w:t>
            </w:r>
          </w:p>
        </w:tc>
      </w:tr>
    </w:tbl>
    <w:p w:rsidR="00C07444" w:rsidRPr="00995DE0" w:rsidRDefault="00C07444" w:rsidP="00C07444"/>
    <w:p w:rsidR="00E26EE5" w:rsidRPr="00995DE0" w:rsidRDefault="00E26EE5" w:rsidP="004B234B">
      <w:pPr>
        <w:jc w:val="both"/>
      </w:pPr>
      <w:r w:rsidRPr="00995DE0">
        <w:t xml:space="preserve">            </w:t>
      </w:r>
      <w:r w:rsidR="004B234B" w:rsidRPr="00995DE0">
        <w:t xml:space="preserve">  </w:t>
      </w:r>
      <w:r w:rsidRPr="00995DE0">
        <w:t xml:space="preserve">Расходы консолидированного бюджета составили </w:t>
      </w:r>
      <w:r w:rsidR="001F0560">
        <w:t>695,9</w:t>
      </w:r>
      <w:r w:rsidRPr="00995DE0">
        <w:t xml:space="preserve"> млн.руб.</w:t>
      </w:r>
    </w:p>
    <w:p w:rsidR="00E26EE5" w:rsidRPr="00995DE0" w:rsidRDefault="00E26EE5" w:rsidP="004B234B">
      <w:pPr>
        <w:jc w:val="both"/>
      </w:pPr>
      <w:r w:rsidRPr="00995DE0">
        <w:t xml:space="preserve">             Основными получателями бюджетных средств являются следующие отрасли:</w:t>
      </w:r>
    </w:p>
    <w:p w:rsidR="00E26EE5" w:rsidRPr="00995DE0" w:rsidRDefault="00E26EE5" w:rsidP="004B234B">
      <w:pPr>
        <w:jc w:val="both"/>
      </w:pPr>
      <w:r w:rsidRPr="00995DE0">
        <w:rPr>
          <w:b/>
        </w:rPr>
        <w:t>-</w:t>
      </w:r>
      <w:r w:rsidR="00142C7F" w:rsidRPr="00995DE0">
        <w:rPr>
          <w:b/>
        </w:rPr>
        <w:t xml:space="preserve"> </w:t>
      </w:r>
      <w:r w:rsidRPr="00995DE0">
        <w:rPr>
          <w:b/>
        </w:rPr>
        <w:t>Образование</w:t>
      </w:r>
      <w:r w:rsidRPr="00995DE0">
        <w:t xml:space="preserve"> – </w:t>
      </w:r>
      <w:r w:rsidR="004A1E5D">
        <w:t>1</w:t>
      </w:r>
      <w:r w:rsidR="001F0560">
        <w:t>96,1</w:t>
      </w:r>
      <w:r w:rsidRPr="00995DE0">
        <w:t xml:space="preserve"> млн.руб., удельный вес в общем объёме расходов за 201</w:t>
      </w:r>
      <w:r w:rsidR="002A47DE" w:rsidRPr="00995DE0">
        <w:t>2</w:t>
      </w:r>
      <w:r w:rsidRPr="00995DE0">
        <w:t xml:space="preserve"> г</w:t>
      </w:r>
      <w:r w:rsidRPr="00995DE0">
        <w:t>о</w:t>
      </w:r>
      <w:r w:rsidRPr="00995DE0">
        <w:t xml:space="preserve">д – </w:t>
      </w:r>
      <w:r w:rsidR="004A1E5D">
        <w:t>2</w:t>
      </w:r>
      <w:r w:rsidR="001F0560">
        <w:t>8,2</w:t>
      </w:r>
      <w:r w:rsidR="004A1E5D">
        <w:t xml:space="preserve"> </w:t>
      </w:r>
      <w:r w:rsidRPr="00995DE0">
        <w:t>%.</w:t>
      </w:r>
    </w:p>
    <w:p w:rsidR="00E26EE5" w:rsidRPr="00995DE0" w:rsidRDefault="00E26EE5" w:rsidP="004B234B">
      <w:pPr>
        <w:jc w:val="both"/>
      </w:pPr>
      <w:r w:rsidRPr="00995DE0">
        <w:rPr>
          <w:b/>
        </w:rPr>
        <w:lastRenderedPageBreak/>
        <w:t>-</w:t>
      </w:r>
      <w:r w:rsidR="00142C7F" w:rsidRPr="00995DE0">
        <w:rPr>
          <w:b/>
        </w:rPr>
        <w:t xml:space="preserve"> </w:t>
      </w:r>
      <w:r w:rsidRPr="00995DE0">
        <w:rPr>
          <w:b/>
        </w:rPr>
        <w:t>Социальная политика</w:t>
      </w:r>
      <w:r w:rsidRPr="00995DE0">
        <w:t xml:space="preserve"> – </w:t>
      </w:r>
      <w:r w:rsidR="001F0560">
        <w:t>123,7</w:t>
      </w:r>
      <w:r w:rsidR="00325B0C" w:rsidRPr="00995DE0">
        <w:t xml:space="preserve"> </w:t>
      </w:r>
      <w:r w:rsidRPr="00995DE0">
        <w:t xml:space="preserve">млн.руб., удельный вес в общем объеме расходов за </w:t>
      </w:r>
      <w:r w:rsidR="00193EB2" w:rsidRPr="00995DE0">
        <w:t>2012 год</w:t>
      </w:r>
      <w:r w:rsidRPr="00995DE0">
        <w:t xml:space="preserve"> – </w:t>
      </w:r>
      <w:r w:rsidR="004A1E5D">
        <w:t>1</w:t>
      </w:r>
      <w:r w:rsidR="001F0560">
        <w:t>7,8</w:t>
      </w:r>
      <w:r w:rsidR="00325B0C" w:rsidRPr="00995DE0">
        <w:t xml:space="preserve"> </w:t>
      </w:r>
      <w:r w:rsidRPr="00995DE0">
        <w:t>%.</w:t>
      </w:r>
    </w:p>
    <w:p w:rsidR="00E26EE5" w:rsidRPr="00995DE0" w:rsidRDefault="00E26EE5" w:rsidP="004B234B">
      <w:pPr>
        <w:jc w:val="both"/>
      </w:pPr>
      <w:r w:rsidRPr="00995DE0">
        <w:rPr>
          <w:b/>
        </w:rPr>
        <w:t>- Жилищно-коммунальное хозяйство</w:t>
      </w:r>
      <w:r w:rsidRPr="00995DE0">
        <w:t xml:space="preserve"> – </w:t>
      </w:r>
      <w:r w:rsidR="004A1E5D">
        <w:t>5</w:t>
      </w:r>
      <w:r w:rsidR="005037BB">
        <w:t>8,3</w:t>
      </w:r>
      <w:r w:rsidRPr="00995DE0">
        <w:t xml:space="preserve"> млн.руб., удельный вес в общем объёме расходов за</w:t>
      </w:r>
      <w:r w:rsidR="00193EB2" w:rsidRPr="00995DE0">
        <w:t xml:space="preserve"> 2012 год </w:t>
      </w:r>
      <w:r w:rsidRPr="00995DE0">
        <w:t xml:space="preserve">– </w:t>
      </w:r>
      <w:r w:rsidR="005037BB">
        <w:t>8,4</w:t>
      </w:r>
      <w:r w:rsidR="002A47DE" w:rsidRPr="00995DE0">
        <w:t xml:space="preserve"> </w:t>
      </w:r>
      <w:r w:rsidRPr="00995DE0">
        <w:t>%.</w:t>
      </w:r>
    </w:p>
    <w:p w:rsidR="00E26EE5" w:rsidRPr="00995DE0" w:rsidRDefault="00E26EE5" w:rsidP="004B234B">
      <w:pPr>
        <w:jc w:val="both"/>
      </w:pPr>
      <w:r w:rsidRPr="00995DE0">
        <w:rPr>
          <w:b/>
        </w:rPr>
        <w:t>- Культура</w:t>
      </w:r>
      <w:r w:rsidR="00325B0C" w:rsidRPr="00995DE0">
        <w:rPr>
          <w:b/>
        </w:rPr>
        <w:t xml:space="preserve"> </w:t>
      </w:r>
      <w:r w:rsidRPr="00995DE0">
        <w:t xml:space="preserve"> –</w:t>
      </w:r>
      <w:r w:rsidR="005037BB">
        <w:t xml:space="preserve"> 32,2</w:t>
      </w:r>
      <w:r w:rsidRPr="00995DE0">
        <w:t xml:space="preserve"> млн.руб., удельный вес в общем объёме расходов за</w:t>
      </w:r>
      <w:r w:rsidR="00325B0C" w:rsidRPr="00995DE0">
        <w:t xml:space="preserve"> </w:t>
      </w:r>
      <w:r w:rsidR="00193EB2" w:rsidRPr="00995DE0">
        <w:t>2012 г</w:t>
      </w:r>
      <w:r w:rsidR="00193EB2" w:rsidRPr="00995DE0">
        <w:t>о</w:t>
      </w:r>
      <w:r w:rsidR="00193EB2" w:rsidRPr="00995DE0">
        <w:t xml:space="preserve">д </w:t>
      </w:r>
      <w:r w:rsidRPr="00995DE0">
        <w:t xml:space="preserve">– </w:t>
      </w:r>
      <w:r w:rsidR="004A1E5D">
        <w:t>4,</w:t>
      </w:r>
      <w:r w:rsidR="005037BB">
        <w:t>6</w:t>
      </w:r>
      <w:r w:rsidR="00325B0C" w:rsidRPr="00995DE0">
        <w:t xml:space="preserve"> </w:t>
      </w:r>
      <w:r w:rsidRPr="00995DE0">
        <w:t>%.</w:t>
      </w:r>
    </w:p>
    <w:p w:rsidR="00325B0C" w:rsidRPr="00995DE0" w:rsidRDefault="00325B0C" w:rsidP="004B234B">
      <w:pPr>
        <w:jc w:val="both"/>
      </w:pPr>
      <w:r w:rsidRPr="00995DE0">
        <w:rPr>
          <w:b/>
        </w:rPr>
        <w:t>- Физическая культура и спорт</w:t>
      </w:r>
      <w:r w:rsidRPr="00995DE0">
        <w:t xml:space="preserve"> –</w:t>
      </w:r>
      <w:r w:rsidR="00984D2D">
        <w:t>4,8</w:t>
      </w:r>
      <w:r w:rsidRPr="00995DE0">
        <w:t xml:space="preserve"> млн.руб., удельный вес в общем объёме расх</w:t>
      </w:r>
      <w:r w:rsidRPr="00995DE0">
        <w:t>о</w:t>
      </w:r>
      <w:r w:rsidRPr="00995DE0">
        <w:t xml:space="preserve">дов за </w:t>
      </w:r>
      <w:r w:rsidR="00193EB2" w:rsidRPr="00995DE0">
        <w:t xml:space="preserve"> 2012 год </w:t>
      </w:r>
      <w:r w:rsidRPr="00995DE0">
        <w:t xml:space="preserve">  201</w:t>
      </w:r>
      <w:r w:rsidR="002A47DE" w:rsidRPr="00995DE0">
        <w:t>2</w:t>
      </w:r>
      <w:r w:rsidRPr="00995DE0">
        <w:t xml:space="preserve"> года – </w:t>
      </w:r>
      <w:r w:rsidR="00193EB2" w:rsidRPr="00995DE0">
        <w:t>0,</w:t>
      </w:r>
      <w:r w:rsidR="004A1E5D">
        <w:t>7</w:t>
      </w:r>
      <w:r w:rsidRPr="00995DE0">
        <w:t xml:space="preserve"> %</w:t>
      </w:r>
    </w:p>
    <w:p w:rsidR="00193EB2" w:rsidRPr="00995DE0" w:rsidRDefault="00193EB2" w:rsidP="00193EB2">
      <w:pPr>
        <w:jc w:val="both"/>
      </w:pPr>
      <w:r w:rsidRPr="00995DE0">
        <w:rPr>
          <w:b/>
        </w:rPr>
        <w:t>- Дорожное хозяйство</w:t>
      </w:r>
      <w:r w:rsidRPr="00995DE0">
        <w:t xml:space="preserve"> – </w:t>
      </w:r>
      <w:r w:rsidR="004A1E5D">
        <w:t>1</w:t>
      </w:r>
      <w:r w:rsidR="00984D2D">
        <w:t>72,6</w:t>
      </w:r>
      <w:r w:rsidRPr="00995DE0">
        <w:t xml:space="preserve"> млн.руб., удельный вес в общем объёме расходов за  2012 год   2012 года – 2</w:t>
      </w:r>
      <w:r w:rsidR="004A1E5D">
        <w:t>4</w:t>
      </w:r>
      <w:r w:rsidRPr="00995DE0">
        <w:t>,</w:t>
      </w:r>
      <w:r w:rsidR="00984D2D">
        <w:t xml:space="preserve">8 </w:t>
      </w:r>
      <w:r w:rsidRPr="00995DE0">
        <w:t>%</w:t>
      </w:r>
    </w:p>
    <w:p w:rsidR="00D93937" w:rsidRPr="00995DE0" w:rsidRDefault="00E26EE5" w:rsidP="002B65B1">
      <w:r w:rsidRPr="00995DE0">
        <w:t xml:space="preserve">    </w:t>
      </w:r>
    </w:p>
    <w:p w:rsidR="00D93937" w:rsidRPr="00995DE0" w:rsidRDefault="00D93937" w:rsidP="004B234B">
      <w:pPr>
        <w:jc w:val="both"/>
      </w:pPr>
      <w:r w:rsidRPr="00995DE0">
        <w:tab/>
        <w:t>На финансирование отраслей социально-культурной сферы н</w:t>
      </w:r>
      <w:r w:rsidRPr="00995DE0">
        <w:t>а</w:t>
      </w:r>
      <w:r w:rsidRPr="00995DE0">
        <w:t>правляется  более 80 процентов бюджета ра</w:t>
      </w:r>
      <w:r w:rsidRPr="00995DE0">
        <w:t>й</w:t>
      </w:r>
      <w:r w:rsidRPr="00995DE0">
        <w:t>она.</w:t>
      </w:r>
    </w:p>
    <w:p w:rsidR="007708D8" w:rsidRPr="00995DE0" w:rsidRDefault="00B83E8F" w:rsidP="002B65B1">
      <w:pPr>
        <w:jc w:val="both"/>
      </w:pPr>
      <w:r w:rsidRPr="00995DE0">
        <w:tab/>
      </w:r>
      <w:r w:rsidR="008E6ECA" w:rsidRPr="00995DE0">
        <w:t>Для обеспечения плана доходов бюджета в Администрации Валдайского муниц</w:t>
      </w:r>
      <w:r w:rsidR="008E6ECA" w:rsidRPr="00995DE0">
        <w:t>и</w:t>
      </w:r>
      <w:r w:rsidR="008E6ECA" w:rsidRPr="00995DE0">
        <w:t>пального района создана комиссия по работе с неплательщиками, в состав кот</w:t>
      </w:r>
      <w:r w:rsidR="006773B9" w:rsidRPr="00995DE0">
        <w:t>о</w:t>
      </w:r>
      <w:r w:rsidR="008E6ECA" w:rsidRPr="00995DE0">
        <w:t>рой пом</w:t>
      </w:r>
      <w:r w:rsidR="008E6ECA" w:rsidRPr="00995DE0">
        <w:t>и</w:t>
      </w:r>
      <w:r w:rsidR="008E6ECA" w:rsidRPr="00995DE0">
        <w:t>мо работников Администрации входят руководители прокуратуры</w:t>
      </w:r>
      <w:r w:rsidR="00021504" w:rsidRPr="00995DE0">
        <w:t>, РОВД, налоговой и</w:t>
      </w:r>
      <w:r w:rsidR="00021504" w:rsidRPr="00995DE0">
        <w:t>н</w:t>
      </w:r>
      <w:r w:rsidR="00021504" w:rsidRPr="00995DE0">
        <w:t xml:space="preserve">спекции и Пенсионного фонда. В </w:t>
      </w:r>
      <w:r w:rsidR="00C460A2">
        <w:t xml:space="preserve">течение </w:t>
      </w:r>
      <w:r w:rsidR="002B65B1" w:rsidRPr="00995DE0">
        <w:t xml:space="preserve"> </w:t>
      </w:r>
      <w:r w:rsidR="00021504" w:rsidRPr="00995DE0">
        <w:t>201</w:t>
      </w:r>
      <w:r w:rsidR="002A47DE" w:rsidRPr="00995DE0">
        <w:t>2</w:t>
      </w:r>
      <w:r w:rsidR="00021504" w:rsidRPr="00995DE0">
        <w:t xml:space="preserve"> год</w:t>
      </w:r>
      <w:r w:rsidR="002B65B1" w:rsidRPr="00995DE0">
        <w:t>а</w:t>
      </w:r>
      <w:r w:rsidR="00021504" w:rsidRPr="00995DE0">
        <w:t xml:space="preserve"> проведено </w:t>
      </w:r>
      <w:r w:rsidR="00DD43DF">
        <w:t>8</w:t>
      </w:r>
      <w:r w:rsidR="00957704" w:rsidRPr="00995DE0">
        <w:t xml:space="preserve"> </w:t>
      </w:r>
      <w:r w:rsidR="00021504" w:rsidRPr="00995DE0">
        <w:t>заседани</w:t>
      </w:r>
      <w:r w:rsidR="002D153A">
        <w:t>й</w:t>
      </w:r>
      <w:r w:rsidR="00021504" w:rsidRPr="00995DE0">
        <w:t xml:space="preserve"> коми</w:t>
      </w:r>
      <w:r w:rsidR="00021504" w:rsidRPr="00995DE0">
        <w:t>с</w:t>
      </w:r>
      <w:r w:rsidR="00021504" w:rsidRPr="00995DE0">
        <w:t xml:space="preserve">сии </w:t>
      </w:r>
      <w:r w:rsidR="00957704" w:rsidRPr="00995DE0">
        <w:t xml:space="preserve"> по рассмотрению вопросов своевременного поступления налоговых и неналоговых пл</w:t>
      </w:r>
      <w:r w:rsidR="00957704" w:rsidRPr="00995DE0">
        <w:t>а</w:t>
      </w:r>
      <w:r w:rsidR="00957704" w:rsidRPr="00995DE0">
        <w:t>тежей в бюджет ра</w:t>
      </w:r>
      <w:r w:rsidR="00957704" w:rsidRPr="00995DE0">
        <w:t>й</w:t>
      </w:r>
      <w:r w:rsidR="00957704" w:rsidRPr="00995DE0">
        <w:t>она</w:t>
      </w:r>
      <w:r w:rsidR="002B65B1" w:rsidRPr="00995DE0">
        <w:t xml:space="preserve"> и легализации заработной платы.</w:t>
      </w:r>
    </w:p>
    <w:p w:rsidR="002B65B1" w:rsidRPr="00995DE0" w:rsidRDefault="002B65B1" w:rsidP="002B65B1">
      <w:pPr>
        <w:jc w:val="both"/>
      </w:pPr>
    </w:p>
    <w:p w:rsidR="007708D8" w:rsidRPr="00995DE0" w:rsidRDefault="007708D8" w:rsidP="007708D8">
      <w:pPr>
        <w:jc w:val="center"/>
      </w:pPr>
      <w:r w:rsidRPr="00995DE0">
        <w:rPr>
          <w:b/>
          <w:sz w:val="28"/>
          <w:szCs w:val="28"/>
        </w:rPr>
        <w:t>ЖИЛИЩНО - КОММУНАЛЬНОЕ ХОЗЯЙСТВО</w:t>
      </w:r>
      <w:r w:rsidRPr="00995DE0">
        <w:t>.</w:t>
      </w:r>
    </w:p>
    <w:p w:rsidR="00622359" w:rsidRPr="00995DE0" w:rsidRDefault="00622359" w:rsidP="007708D8">
      <w:pPr>
        <w:jc w:val="center"/>
      </w:pPr>
    </w:p>
    <w:p w:rsidR="008E6ECA" w:rsidRPr="00995DE0" w:rsidRDefault="00622359" w:rsidP="004B234B">
      <w:pPr>
        <w:jc w:val="both"/>
      </w:pPr>
      <w:r w:rsidRPr="00995DE0">
        <w:tab/>
      </w:r>
      <w:r w:rsidR="00957704" w:rsidRPr="00995DE0">
        <w:t xml:space="preserve"> </w:t>
      </w:r>
      <w:r w:rsidR="00E70346" w:rsidRPr="00995DE0">
        <w:t>В целях повышения устойчивой работы коммунального хозяйства разработаны долгосрочные целевые программы «Газификация Валдайского муниципального района</w:t>
      </w:r>
      <w:r w:rsidRPr="00995DE0">
        <w:t xml:space="preserve"> на 2011-2013 годы» и «Комплексное развитие инфраструктуры водоснабжения и водоотв</w:t>
      </w:r>
      <w:r w:rsidRPr="00995DE0">
        <w:t>е</w:t>
      </w:r>
      <w:r w:rsidRPr="00995DE0">
        <w:t>дения на 2011-2015 годы».</w:t>
      </w:r>
      <w:r w:rsidR="00C660FE" w:rsidRPr="00995DE0">
        <w:t xml:space="preserve"> </w:t>
      </w:r>
      <w:r w:rsidR="0064344D" w:rsidRPr="00995DE0">
        <w:t>Более 70% водопроводных сетей являются ветхими, 4</w:t>
      </w:r>
      <w:r w:rsidR="00892A01">
        <w:t>9</w:t>
      </w:r>
      <w:r w:rsidR="0064344D" w:rsidRPr="00995DE0">
        <w:t xml:space="preserve"> % кан</w:t>
      </w:r>
      <w:r w:rsidR="0064344D" w:rsidRPr="00995DE0">
        <w:t>а</w:t>
      </w:r>
      <w:r w:rsidR="0064344D" w:rsidRPr="00995DE0">
        <w:t xml:space="preserve">лизационных сетей нуждаются в замене. </w:t>
      </w:r>
    </w:p>
    <w:p w:rsidR="00E20810" w:rsidRPr="00995DE0" w:rsidRDefault="00622359" w:rsidP="004B234B">
      <w:pPr>
        <w:jc w:val="both"/>
      </w:pPr>
      <w:r w:rsidRPr="00995DE0">
        <w:tab/>
        <w:t xml:space="preserve">Для снижения неэффективных расходов в сфере ЖКХ </w:t>
      </w:r>
      <w:r w:rsidR="0073227E" w:rsidRPr="00995DE0">
        <w:t>в</w:t>
      </w:r>
      <w:r w:rsidR="007617A4">
        <w:t xml:space="preserve"> течение </w:t>
      </w:r>
      <w:r w:rsidR="00F73A4A">
        <w:t>2012</w:t>
      </w:r>
      <w:r w:rsidR="0073227E" w:rsidRPr="00995DE0">
        <w:t xml:space="preserve"> года </w:t>
      </w:r>
      <w:r w:rsidRPr="00995DE0">
        <w:t>пров</w:t>
      </w:r>
      <w:r w:rsidRPr="00995DE0">
        <w:t>е</w:t>
      </w:r>
      <w:r w:rsidRPr="00995DE0">
        <w:t>дены работы по</w:t>
      </w:r>
      <w:r w:rsidR="00D252AB" w:rsidRPr="00995DE0">
        <w:t xml:space="preserve"> </w:t>
      </w:r>
      <w:r w:rsidR="0064344D" w:rsidRPr="00995DE0">
        <w:t xml:space="preserve">замене </w:t>
      </w:r>
      <w:smartTag w:uri="urn:schemas-microsoft-com:office:smarttags" w:element="metricconverter">
        <w:smartTagPr>
          <w:attr w:name="ProductID" w:val="455 м"/>
        </w:smartTagPr>
        <w:r w:rsidR="00F73A4A">
          <w:t>455</w:t>
        </w:r>
        <w:r w:rsidR="00E20810" w:rsidRPr="00995DE0">
          <w:t xml:space="preserve"> м</w:t>
        </w:r>
      </w:smartTag>
      <w:r w:rsidR="00E20810" w:rsidRPr="00995DE0">
        <w:t xml:space="preserve">. тепловых сетей, </w:t>
      </w:r>
      <w:r w:rsidR="0064344D" w:rsidRPr="00995DE0">
        <w:t>2-х насосов в котельной №2, установк</w:t>
      </w:r>
      <w:r w:rsidR="00996167">
        <w:t>е</w:t>
      </w:r>
      <w:r w:rsidR="0064344D" w:rsidRPr="00995DE0">
        <w:t xml:space="preserve"> насоса в  котельной п.Ивантеево</w:t>
      </w:r>
      <w:r w:rsidR="00E20810" w:rsidRPr="00995DE0">
        <w:t xml:space="preserve">. </w:t>
      </w:r>
      <w:r w:rsidR="00837C3B" w:rsidRPr="00995DE0">
        <w:t xml:space="preserve">Произведена замена </w:t>
      </w:r>
      <w:smartTag w:uri="urn:schemas-microsoft-com:office:smarttags" w:element="metricconverter">
        <w:smartTagPr>
          <w:attr w:name="ProductID" w:val="1115 м"/>
        </w:smartTagPr>
        <w:r w:rsidR="00E20810" w:rsidRPr="00995DE0">
          <w:t>1</w:t>
        </w:r>
        <w:r w:rsidR="00F73A4A">
          <w:t>115</w:t>
        </w:r>
        <w:r w:rsidR="00E20810" w:rsidRPr="00995DE0">
          <w:t xml:space="preserve"> м</w:t>
        </w:r>
      </w:smartTag>
      <w:r w:rsidR="00E20810" w:rsidRPr="00995DE0">
        <w:t xml:space="preserve">. водопроводных сетей, </w:t>
      </w:r>
      <w:r w:rsidR="00837C3B" w:rsidRPr="00995DE0">
        <w:t>гл</w:t>
      </w:r>
      <w:r w:rsidR="00837C3B" w:rsidRPr="00995DE0">
        <w:t>у</w:t>
      </w:r>
      <w:r w:rsidR="00837C3B" w:rsidRPr="00995DE0">
        <w:t>бинн</w:t>
      </w:r>
      <w:r w:rsidR="0064344D" w:rsidRPr="00995DE0">
        <w:t>ых</w:t>
      </w:r>
      <w:r w:rsidR="00837C3B" w:rsidRPr="00995DE0">
        <w:t xml:space="preserve"> насос</w:t>
      </w:r>
      <w:r w:rsidR="0064344D" w:rsidRPr="00995DE0">
        <w:t>ов</w:t>
      </w:r>
      <w:r w:rsidR="00837C3B" w:rsidRPr="00995DE0">
        <w:t xml:space="preserve"> на скважин</w:t>
      </w:r>
      <w:r w:rsidR="0064344D" w:rsidRPr="00995DE0">
        <w:t xml:space="preserve">ах </w:t>
      </w:r>
      <w:r w:rsidR="008764F7" w:rsidRPr="00995DE0">
        <w:t xml:space="preserve">в </w:t>
      </w:r>
      <w:r w:rsidR="0064344D" w:rsidRPr="00995DE0">
        <w:t>г.Валдае, д.Добыва</w:t>
      </w:r>
      <w:r w:rsidR="00E20810" w:rsidRPr="00995DE0">
        <w:t>лово, Мир</w:t>
      </w:r>
      <w:r w:rsidR="00E20810" w:rsidRPr="00995DE0">
        <w:t>о</w:t>
      </w:r>
      <w:r w:rsidR="00E20810" w:rsidRPr="00995DE0">
        <w:t>хны.</w:t>
      </w:r>
    </w:p>
    <w:p w:rsidR="00513A1F" w:rsidRPr="00995DE0" w:rsidRDefault="00513A1F" w:rsidP="00513A1F">
      <w:pPr>
        <w:jc w:val="both"/>
      </w:pPr>
      <w:r w:rsidRPr="00995DE0">
        <w:tab/>
        <w:t>В текущем периоде за счёт средств сетевых организаций – Производственного о</w:t>
      </w:r>
      <w:r w:rsidRPr="00995DE0">
        <w:t>т</w:t>
      </w:r>
      <w:r w:rsidRPr="00995DE0">
        <w:t>деления «Валдайские электрические сети» и Валдайского филиала ОАО «Новгородоб</w:t>
      </w:r>
      <w:r w:rsidRPr="00995DE0">
        <w:t>л</w:t>
      </w:r>
      <w:r w:rsidRPr="00995DE0">
        <w:t xml:space="preserve">коммунэнерго» выполнены работы по капитальному ремонту ВЛ </w:t>
      </w:r>
      <w:r w:rsidR="007C480B">
        <w:t xml:space="preserve">по улицам </w:t>
      </w:r>
      <w:r w:rsidRPr="00995DE0">
        <w:t>Дворцовая</w:t>
      </w:r>
      <w:r w:rsidR="007C480B">
        <w:t xml:space="preserve">, Некрасова, </w:t>
      </w:r>
      <w:r w:rsidR="00D91BAC">
        <w:t>Победы</w:t>
      </w:r>
      <w:r w:rsidRPr="00995DE0">
        <w:t xml:space="preserve">, </w:t>
      </w:r>
      <w:r w:rsidR="00D91BAC">
        <w:t xml:space="preserve">в д. Добывалово, Красилово, Новая Ситенка,  капитальному и </w:t>
      </w:r>
      <w:r w:rsidRPr="00995DE0">
        <w:t>тек</w:t>
      </w:r>
      <w:r w:rsidRPr="00995DE0">
        <w:t>у</w:t>
      </w:r>
      <w:r w:rsidRPr="00995DE0">
        <w:t>щему ремонту оборудования пяти</w:t>
      </w:r>
      <w:r w:rsidR="002B1A83" w:rsidRPr="00995DE0">
        <w:t xml:space="preserve"> трансформаторных </w:t>
      </w:r>
      <w:r w:rsidRPr="00995DE0">
        <w:t>подстанций,</w:t>
      </w:r>
      <w:r w:rsidR="002B1A83" w:rsidRPr="00995DE0">
        <w:t xml:space="preserve"> кабельных разделит</w:t>
      </w:r>
      <w:r w:rsidR="002B1A83" w:rsidRPr="00995DE0">
        <w:t>е</w:t>
      </w:r>
      <w:r w:rsidR="002B1A83" w:rsidRPr="00995DE0">
        <w:t xml:space="preserve">лей, </w:t>
      </w:r>
      <w:r w:rsidRPr="00995DE0">
        <w:t xml:space="preserve">обслуживанию линий электропередач, расчистке трасс энергоснабжения </w:t>
      </w:r>
      <w:r w:rsidR="006B7134">
        <w:t>на террит</w:t>
      </w:r>
      <w:r w:rsidR="006B7134">
        <w:t>о</w:t>
      </w:r>
      <w:r w:rsidR="006B7134">
        <w:t xml:space="preserve">рии </w:t>
      </w:r>
      <w:smartTag w:uri="urn:schemas-microsoft-com:office:smarttags" w:element="metricconverter">
        <w:smartTagPr>
          <w:attr w:name="ProductID" w:val="200 Га"/>
        </w:smartTagPr>
        <w:r w:rsidR="006B7134">
          <w:t>200 Га</w:t>
        </w:r>
      </w:smartTag>
      <w:r w:rsidR="002B1A83" w:rsidRPr="00995DE0">
        <w:t xml:space="preserve">, </w:t>
      </w:r>
      <w:r w:rsidRPr="00995DE0">
        <w:t>п</w:t>
      </w:r>
      <w:r w:rsidR="002B1A83" w:rsidRPr="00995DE0">
        <w:t>одготовк</w:t>
      </w:r>
      <w:r w:rsidR="00011D2D" w:rsidRPr="00995DE0">
        <w:t>е</w:t>
      </w:r>
      <w:r w:rsidR="002B1A83" w:rsidRPr="00995DE0">
        <w:t xml:space="preserve"> к грозосезону. По</w:t>
      </w:r>
      <w:r w:rsidRPr="00995DE0">
        <w:t>дключен</w:t>
      </w:r>
      <w:r w:rsidR="00297B84">
        <w:t>о</w:t>
      </w:r>
      <w:r w:rsidRPr="00995DE0">
        <w:t xml:space="preserve"> </w:t>
      </w:r>
      <w:r w:rsidR="00297B84">
        <w:t>99</w:t>
      </w:r>
      <w:r w:rsidRPr="00995DE0">
        <w:t xml:space="preserve"> новы</w:t>
      </w:r>
      <w:r w:rsidR="00297B84">
        <w:t>х</w:t>
      </w:r>
      <w:r w:rsidRPr="00995DE0">
        <w:t xml:space="preserve"> потребител</w:t>
      </w:r>
      <w:r w:rsidR="00297B84">
        <w:t>ей</w:t>
      </w:r>
      <w:r w:rsidRPr="00995DE0">
        <w:t xml:space="preserve"> электроэне</w:t>
      </w:r>
      <w:r w:rsidRPr="00995DE0">
        <w:t>р</w:t>
      </w:r>
      <w:r w:rsidR="002B1A83" w:rsidRPr="00995DE0">
        <w:t>гии</w:t>
      </w:r>
      <w:r w:rsidR="00011D2D" w:rsidRPr="00995DE0">
        <w:t>.</w:t>
      </w:r>
      <w:r w:rsidRPr="00995DE0">
        <w:t xml:space="preserve">  </w:t>
      </w:r>
    </w:p>
    <w:p w:rsidR="002B1A83" w:rsidRDefault="002B1A83" w:rsidP="002B1A83">
      <w:pPr>
        <w:jc w:val="both"/>
      </w:pPr>
      <w:r w:rsidRPr="00995DE0">
        <w:tab/>
        <w:t xml:space="preserve">Силами треста-филиала «Валдаймежрайгаз» проведено техническое обслуживание газового оборудования в </w:t>
      </w:r>
      <w:r w:rsidR="006B7134">
        <w:t>5681</w:t>
      </w:r>
      <w:r w:rsidRPr="00995DE0">
        <w:t xml:space="preserve"> квартирах, установлено </w:t>
      </w:r>
      <w:r w:rsidR="006B7134">
        <w:t>333</w:t>
      </w:r>
      <w:r w:rsidRPr="00995DE0">
        <w:t xml:space="preserve"> приборов учета, газифициров</w:t>
      </w:r>
      <w:r w:rsidRPr="00995DE0">
        <w:t>а</w:t>
      </w:r>
      <w:r w:rsidRPr="00995DE0">
        <w:t>н</w:t>
      </w:r>
      <w:r w:rsidR="006B7134">
        <w:t>о</w:t>
      </w:r>
      <w:r w:rsidRPr="00995DE0">
        <w:t xml:space="preserve"> </w:t>
      </w:r>
      <w:r w:rsidR="006B7134">
        <w:t xml:space="preserve">272 </w:t>
      </w:r>
      <w:r w:rsidRPr="00995DE0">
        <w:t>квартир</w:t>
      </w:r>
      <w:r w:rsidR="006B7134">
        <w:t>ы</w:t>
      </w:r>
      <w:r w:rsidRPr="00995DE0">
        <w:t xml:space="preserve"> и сдано в эксплуатацию </w:t>
      </w:r>
      <w:smartTag w:uri="urn:schemas-microsoft-com:office:smarttags" w:element="metricconverter">
        <w:smartTagPr>
          <w:attr w:name="ProductID" w:val="11 км"/>
        </w:smartTagPr>
        <w:r w:rsidR="006B7134">
          <w:t>11</w:t>
        </w:r>
        <w:r w:rsidRPr="00995DE0">
          <w:t xml:space="preserve"> км</w:t>
        </w:r>
      </w:smartTag>
      <w:r w:rsidRPr="00995DE0">
        <w:t>. газовых сетей</w:t>
      </w:r>
      <w:r w:rsidR="00F777BC">
        <w:t xml:space="preserve"> на сумму 1</w:t>
      </w:r>
      <w:r w:rsidR="006B7134">
        <w:t>4,4</w:t>
      </w:r>
      <w:r w:rsidR="00F777BC">
        <w:t xml:space="preserve"> млн.руб.</w:t>
      </w:r>
      <w:r w:rsidRPr="00995DE0">
        <w:t xml:space="preserve"> </w:t>
      </w:r>
    </w:p>
    <w:p w:rsidR="00612D68" w:rsidRDefault="00612D68" w:rsidP="002B1A83">
      <w:pPr>
        <w:jc w:val="both"/>
      </w:pPr>
      <w:r>
        <w:tab/>
        <w:t xml:space="preserve">При со финансировании Фонда содействия реформированию ЖКХ </w:t>
      </w:r>
      <w:r w:rsidR="0047277B">
        <w:t>проведен кап</w:t>
      </w:r>
      <w:r w:rsidR="0047277B">
        <w:t>и</w:t>
      </w:r>
      <w:r w:rsidR="0047277B">
        <w:t>тальный ремонт многоквартирных домов</w:t>
      </w:r>
      <w:r w:rsidR="0092064F">
        <w:t xml:space="preserve"> в г.Валдае, выполнены работы по ремонту кр</w:t>
      </w:r>
      <w:r w:rsidR="0092064F">
        <w:t>о</w:t>
      </w:r>
      <w:r w:rsidR="0092064F">
        <w:t>вель на 14 домах, проведено утепление фасада 1 жилого дома, ремонт внутридомовых и</w:t>
      </w:r>
      <w:r w:rsidR="0092064F">
        <w:t>н</w:t>
      </w:r>
      <w:r w:rsidR="0092064F">
        <w:t>женерных сетей осуществлен в 2 домах. Общая сумм</w:t>
      </w:r>
      <w:r w:rsidR="00D077B5">
        <w:t>а</w:t>
      </w:r>
      <w:r w:rsidR="0092064F">
        <w:t xml:space="preserve"> работ составила 20,4 млн. руб.</w:t>
      </w:r>
    </w:p>
    <w:p w:rsidR="00D077B5" w:rsidRDefault="00D077B5" w:rsidP="002B1A83">
      <w:pPr>
        <w:jc w:val="both"/>
      </w:pPr>
    </w:p>
    <w:p w:rsidR="0092064F" w:rsidRDefault="0092064F" w:rsidP="002B1A83">
      <w:pPr>
        <w:jc w:val="both"/>
      </w:pPr>
      <w:r>
        <w:tab/>
        <w:t>Про</w:t>
      </w:r>
      <w:r w:rsidR="00ED6318">
        <w:t>ведён</w:t>
      </w:r>
      <w:r>
        <w:t xml:space="preserve"> ремонт </w:t>
      </w:r>
      <w:r w:rsidR="00C450C6">
        <w:t xml:space="preserve">16 </w:t>
      </w:r>
      <w:r>
        <w:t>придомовых территорий в городе и в сельских населенных пунктах. Всего на эти средства в 2012 году в консолидированном бюджете района пред</w:t>
      </w:r>
      <w:r>
        <w:t>у</w:t>
      </w:r>
      <w:r>
        <w:t xml:space="preserve">смотрено </w:t>
      </w:r>
      <w:r w:rsidR="00F7519D">
        <w:t>554</w:t>
      </w:r>
      <w:r w:rsidR="00F23330">
        <w:t>4</w:t>
      </w:r>
      <w:r w:rsidR="00F7519D">
        <w:t>,0 тыс</w:t>
      </w:r>
      <w:r>
        <w:t>. руб</w:t>
      </w:r>
      <w:r w:rsidR="00D077B5">
        <w:t>.</w:t>
      </w:r>
      <w:r>
        <w:t xml:space="preserve">, за </w:t>
      </w:r>
      <w:r w:rsidR="00ED6318">
        <w:t>год</w:t>
      </w:r>
      <w:r>
        <w:t xml:space="preserve"> о</w:t>
      </w:r>
      <w:r>
        <w:t>с</w:t>
      </w:r>
      <w:r>
        <w:t xml:space="preserve">воено </w:t>
      </w:r>
      <w:r w:rsidR="00F23330">
        <w:t>5539,</w:t>
      </w:r>
      <w:r w:rsidR="00F23330" w:rsidRPr="00F23330">
        <w:t>5</w:t>
      </w:r>
      <w:r w:rsidR="00F7519D" w:rsidRPr="00F23330">
        <w:t xml:space="preserve"> тыс</w:t>
      </w:r>
      <w:r w:rsidRPr="00F23330">
        <w:t>. руб.</w:t>
      </w:r>
    </w:p>
    <w:p w:rsidR="00873244" w:rsidRDefault="00837C3B" w:rsidP="004B234B">
      <w:pPr>
        <w:jc w:val="both"/>
      </w:pPr>
      <w:r w:rsidRPr="00995DE0">
        <w:tab/>
      </w:r>
    </w:p>
    <w:p w:rsidR="00837C3B" w:rsidRPr="00995DE0" w:rsidRDefault="00873244" w:rsidP="004B234B">
      <w:pPr>
        <w:jc w:val="both"/>
      </w:pPr>
      <w:r>
        <w:tab/>
      </w:r>
      <w:r w:rsidR="008A324C" w:rsidRPr="00995DE0">
        <w:t xml:space="preserve">Управляющими компаниями на средства собственников многоквартирных домов </w:t>
      </w:r>
      <w:r w:rsidR="00C95E8C" w:rsidRPr="00995DE0">
        <w:t>по</w:t>
      </w:r>
      <w:r w:rsidR="0073227E" w:rsidRPr="00995DE0">
        <w:t xml:space="preserve"> статье «Капитальный ремонт» </w:t>
      </w:r>
      <w:r w:rsidR="008A324C" w:rsidRPr="00995DE0">
        <w:t>выполнены</w:t>
      </w:r>
      <w:r w:rsidR="005850EE" w:rsidRPr="00995DE0">
        <w:t xml:space="preserve"> капитальные ремонты жилого фонда,</w:t>
      </w:r>
      <w:r w:rsidR="00995DE0" w:rsidRPr="00995DE0">
        <w:t xml:space="preserve"> </w:t>
      </w:r>
      <w:r w:rsidR="00A24C4A" w:rsidRPr="00995DE0">
        <w:t>кро</w:t>
      </w:r>
      <w:r w:rsidR="00A24C4A" w:rsidRPr="00995DE0">
        <w:t>в</w:t>
      </w:r>
      <w:r w:rsidR="00A24C4A" w:rsidRPr="00995DE0">
        <w:t xml:space="preserve">ли, </w:t>
      </w:r>
      <w:r w:rsidR="005850EE" w:rsidRPr="00995DE0">
        <w:t>ремонты  прилегающих территорий,</w:t>
      </w:r>
      <w:r w:rsidR="00477136">
        <w:t xml:space="preserve"> подъездов,</w:t>
      </w:r>
      <w:r w:rsidR="005850EE" w:rsidRPr="00995DE0">
        <w:t xml:space="preserve"> </w:t>
      </w:r>
      <w:r w:rsidR="00995DE0" w:rsidRPr="00995DE0">
        <w:t xml:space="preserve">проведены </w:t>
      </w:r>
      <w:r w:rsidR="008A324C" w:rsidRPr="00995DE0">
        <w:t xml:space="preserve">работы </w:t>
      </w:r>
      <w:r w:rsidR="005850EE" w:rsidRPr="00995DE0">
        <w:t>по</w:t>
      </w:r>
      <w:r w:rsidR="00527DAB" w:rsidRPr="00995DE0">
        <w:t xml:space="preserve"> установке</w:t>
      </w:r>
      <w:r w:rsidR="00F30B87" w:rsidRPr="00995DE0">
        <w:t xml:space="preserve"> </w:t>
      </w:r>
      <w:r w:rsidR="005850EE" w:rsidRPr="00995DE0">
        <w:t>общ</w:t>
      </w:r>
      <w:r w:rsidR="005850EE" w:rsidRPr="00995DE0">
        <w:t>е</w:t>
      </w:r>
      <w:r w:rsidR="005850EE" w:rsidRPr="00995DE0">
        <w:t xml:space="preserve">домовых </w:t>
      </w:r>
      <w:r w:rsidR="00527DAB" w:rsidRPr="00995DE0">
        <w:t>приборов учета</w:t>
      </w:r>
      <w:r w:rsidR="0073227E" w:rsidRPr="00995DE0">
        <w:t xml:space="preserve"> тепловой энергии</w:t>
      </w:r>
      <w:r w:rsidR="00F30B87" w:rsidRPr="00995DE0">
        <w:t xml:space="preserve">, горячей </w:t>
      </w:r>
      <w:r w:rsidR="0073227E" w:rsidRPr="00995DE0">
        <w:t xml:space="preserve"> и холодной воды</w:t>
      </w:r>
      <w:r w:rsidR="00380F1B" w:rsidRPr="00995DE0">
        <w:t>, установке тамбу</w:t>
      </w:r>
      <w:r w:rsidR="00380F1B" w:rsidRPr="00995DE0">
        <w:t>р</w:t>
      </w:r>
      <w:r w:rsidR="00380F1B" w:rsidRPr="00995DE0">
        <w:lastRenderedPageBreak/>
        <w:t>ных дверей, циркулярного насоса.</w:t>
      </w:r>
      <w:r w:rsidR="008A324C" w:rsidRPr="00995DE0">
        <w:t xml:space="preserve"> В целом на эти цели направлено </w:t>
      </w:r>
      <w:r w:rsidR="00D3142B">
        <w:t>1</w:t>
      </w:r>
      <w:r w:rsidR="00665670">
        <w:t>5</w:t>
      </w:r>
      <w:r w:rsidR="008A324C" w:rsidRPr="00995DE0">
        <w:t xml:space="preserve"> </w:t>
      </w:r>
      <w:r w:rsidR="00156D44" w:rsidRPr="00995DE0">
        <w:t>млн</w:t>
      </w:r>
      <w:r w:rsidR="008A324C" w:rsidRPr="00995DE0">
        <w:t>.руб. д</w:t>
      </w:r>
      <w:r w:rsidR="008A324C" w:rsidRPr="00995DE0">
        <w:t>е</w:t>
      </w:r>
      <w:r w:rsidR="008A324C" w:rsidRPr="00995DE0">
        <w:t>нежных средств.</w:t>
      </w:r>
    </w:p>
    <w:p w:rsidR="00015F2D" w:rsidRPr="00437B27" w:rsidRDefault="004D0D60" w:rsidP="00015F2D">
      <w:pPr>
        <w:jc w:val="both"/>
      </w:pPr>
      <w:r w:rsidRPr="00995DE0">
        <w:tab/>
      </w:r>
      <w:r w:rsidR="00015F2D" w:rsidRPr="00437B27">
        <w:t xml:space="preserve"> </w:t>
      </w:r>
    </w:p>
    <w:p w:rsidR="00015F2D" w:rsidRPr="00437B27" w:rsidRDefault="00272A46" w:rsidP="00015F2D">
      <w:pPr>
        <w:ind w:firstLine="708"/>
        <w:jc w:val="both"/>
      </w:pPr>
      <w:r>
        <w:t>Выполнены</w:t>
      </w:r>
      <w:r w:rsidR="00015F2D" w:rsidRPr="00437B27">
        <w:t xml:space="preserve"> строительно-монтажные работы по объекту «Реконструкция газопр</w:t>
      </w:r>
      <w:r w:rsidR="00015F2D" w:rsidRPr="00437B27">
        <w:t>о</w:t>
      </w:r>
      <w:r w:rsidR="00015F2D" w:rsidRPr="00437B27">
        <w:t>вода по пр. Васильева (от ул. Молодежная до пер. Юпитерский) в г. Валдай.</w:t>
      </w:r>
    </w:p>
    <w:p w:rsidR="00B123E7" w:rsidRDefault="0092064F" w:rsidP="00015F2D">
      <w:pPr>
        <w:ind w:firstLine="708"/>
        <w:jc w:val="both"/>
      </w:pPr>
      <w:r>
        <w:t>Закончены работы по р</w:t>
      </w:r>
      <w:r w:rsidR="00015F2D" w:rsidRPr="00437B27">
        <w:t xml:space="preserve">еконструкция существующей системы газораспределения в г. Валдай, с заменой газопровода среднего давления диам. </w:t>
      </w:r>
      <w:smartTag w:uri="urn:schemas-microsoft-com:office:smarttags" w:element="metricconverter">
        <w:smartTagPr>
          <w:attr w:name="ProductID" w:val="108 мм"/>
        </w:smartTagPr>
        <w:r w:rsidR="00015F2D" w:rsidRPr="00437B27">
          <w:t>108 мм</w:t>
        </w:r>
      </w:smartTag>
      <w:r w:rsidR="00015F2D" w:rsidRPr="00437B27">
        <w:t xml:space="preserve"> по ул. Р</w:t>
      </w:r>
      <w:r w:rsidR="00015F2D" w:rsidRPr="00437B27">
        <w:t>а</w:t>
      </w:r>
      <w:r w:rsidR="00015F2D" w:rsidRPr="00437B27">
        <w:t>дищева от ул. К. Маркса до ул. Нахимова</w:t>
      </w:r>
      <w:r w:rsidR="00845538">
        <w:t>.</w:t>
      </w:r>
      <w:r w:rsidR="00015F2D" w:rsidRPr="00437B27">
        <w:t xml:space="preserve"> </w:t>
      </w:r>
      <w:r w:rsidR="00845538">
        <w:t>В</w:t>
      </w:r>
      <w:r>
        <w:t>едется строительство</w:t>
      </w:r>
      <w:r w:rsidR="00015F2D" w:rsidRPr="00437B27">
        <w:t xml:space="preserve"> газопровода Лутовенка – Карна</w:t>
      </w:r>
      <w:r w:rsidR="00015F2D" w:rsidRPr="00437B27">
        <w:t>у</w:t>
      </w:r>
      <w:r w:rsidR="00015F2D" w:rsidRPr="00437B27">
        <w:t>хово.</w:t>
      </w:r>
      <w:r w:rsidR="00B123E7" w:rsidRPr="00995DE0">
        <w:tab/>
        <w:t xml:space="preserve">В </w:t>
      </w:r>
      <w:r w:rsidR="00665670">
        <w:t>2012 году</w:t>
      </w:r>
      <w:r w:rsidR="00DC3D5A" w:rsidRPr="00995DE0">
        <w:t xml:space="preserve"> </w:t>
      </w:r>
      <w:r w:rsidR="00665670">
        <w:t>31</w:t>
      </w:r>
      <w:r w:rsidR="00000E4E" w:rsidRPr="00995DE0">
        <w:t xml:space="preserve"> сем</w:t>
      </w:r>
      <w:r w:rsidR="00665670">
        <w:t>ья</w:t>
      </w:r>
      <w:r w:rsidR="00000E4E" w:rsidRPr="00995DE0">
        <w:t xml:space="preserve"> получил</w:t>
      </w:r>
      <w:r w:rsidR="00665670">
        <w:t>а</w:t>
      </w:r>
      <w:r w:rsidR="00000E4E" w:rsidRPr="00995DE0">
        <w:t xml:space="preserve"> социальную поддержку на газификацию домовл</w:t>
      </w:r>
      <w:r w:rsidR="00000E4E" w:rsidRPr="00995DE0">
        <w:t>а</w:t>
      </w:r>
      <w:r w:rsidR="00000E4E" w:rsidRPr="00995DE0">
        <w:t xml:space="preserve">дений на общую сумму </w:t>
      </w:r>
      <w:r w:rsidR="00665670">
        <w:t>1272,2</w:t>
      </w:r>
      <w:r w:rsidR="00DC3D5A" w:rsidRPr="00995DE0">
        <w:t xml:space="preserve"> тыс.руб.</w:t>
      </w:r>
    </w:p>
    <w:p w:rsidR="006773B9" w:rsidRPr="00995DE0" w:rsidRDefault="006773B9" w:rsidP="004B234B">
      <w:pPr>
        <w:jc w:val="both"/>
      </w:pPr>
    </w:p>
    <w:p w:rsidR="00000E4E" w:rsidRPr="00995DE0" w:rsidRDefault="00000E4E" w:rsidP="00000E4E">
      <w:pPr>
        <w:jc w:val="center"/>
        <w:rPr>
          <w:b/>
        </w:rPr>
      </w:pPr>
      <w:r w:rsidRPr="00995DE0">
        <w:rPr>
          <w:b/>
        </w:rPr>
        <w:t>Неэффективные расходы в сфере ЖКХ.</w:t>
      </w:r>
    </w:p>
    <w:p w:rsidR="004841F4" w:rsidRPr="00995DE0" w:rsidRDefault="004841F4" w:rsidP="00000E4E">
      <w:pPr>
        <w:jc w:val="center"/>
      </w:pPr>
      <w:r w:rsidRPr="00995DE0">
        <w:rPr>
          <w:b/>
        </w:rPr>
        <w:t xml:space="preserve">                                                                                    </w:t>
      </w:r>
      <w:r w:rsidR="006773B9" w:rsidRPr="00995DE0">
        <w:rPr>
          <w:b/>
        </w:rPr>
        <w:t xml:space="preserve">              </w:t>
      </w:r>
      <w:r w:rsidRPr="00995DE0">
        <w:rPr>
          <w:b/>
        </w:rPr>
        <w:t xml:space="preserve"> </w:t>
      </w:r>
      <w:r w:rsidR="000A1418" w:rsidRPr="000A1418">
        <w:t>млн</w:t>
      </w:r>
      <w:r w:rsidRPr="00995DE0">
        <w:t>.руб.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3528"/>
        <w:gridCol w:w="1440"/>
        <w:gridCol w:w="1800"/>
        <w:gridCol w:w="1440"/>
      </w:tblGrid>
      <w:tr w:rsidR="00A4718A" w:rsidRPr="00995DE0" w:rsidTr="00A4718A">
        <w:tc>
          <w:tcPr>
            <w:tcW w:w="3528" w:type="dxa"/>
          </w:tcPr>
          <w:p w:rsidR="00A4718A" w:rsidRPr="00995DE0" w:rsidRDefault="00A4718A" w:rsidP="00C065CC"/>
        </w:tc>
        <w:tc>
          <w:tcPr>
            <w:tcW w:w="1440" w:type="dxa"/>
          </w:tcPr>
          <w:p w:rsidR="00A4718A" w:rsidRPr="00995DE0" w:rsidRDefault="00A4718A" w:rsidP="00521062">
            <w:pPr>
              <w:jc w:val="center"/>
            </w:pPr>
            <w:r w:rsidRPr="00995DE0">
              <w:t>201</w:t>
            </w:r>
            <w:r w:rsidR="0029774D" w:rsidRPr="00995DE0">
              <w:t>2</w:t>
            </w:r>
            <w:r w:rsidRPr="00995DE0">
              <w:t xml:space="preserve"> год</w:t>
            </w:r>
          </w:p>
        </w:tc>
        <w:tc>
          <w:tcPr>
            <w:tcW w:w="1800" w:type="dxa"/>
          </w:tcPr>
          <w:p w:rsidR="00A4718A" w:rsidRPr="00995DE0" w:rsidRDefault="00A4718A" w:rsidP="004841F4">
            <w:pPr>
              <w:jc w:val="center"/>
            </w:pPr>
            <w:r w:rsidRPr="00995DE0">
              <w:t>2011 год</w:t>
            </w:r>
          </w:p>
        </w:tc>
        <w:tc>
          <w:tcPr>
            <w:tcW w:w="1440" w:type="dxa"/>
          </w:tcPr>
          <w:p w:rsidR="00A4718A" w:rsidRPr="00995DE0" w:rsidRDefault="00A4718A" w:rsidP="004841F4">
            <w:pPr>
              <w:jc w:val="center"/>
            </w:pPr>
            <w:r w:rsidRPr="00995DE0">
              <w:t>В % к 201</w:t>
            </w:r>
            <w:r w:rsidR="00DD10A2" w:rsidRPr="00995DE0">
              <w:t>1</w:t>
            </w:r>
            <w:r w:rsidRPr="00995DE0">
              <w:t xml:space="preserve"> году</w:t>
            </w:r>
          </w:p>
        </w:tc>
      </w:tr>
      <w:tr w:rsidR="00A4718A" w:rsidRPr="00995DE0" w:rsidTr="00A4718A">
        <w:tc>
          <w:tcPr>
            <w:tcW w:w="3528" w:type="dxa"/>
          </w:tcPr>
          <w:p w:rsidR="00A4718A" w:rsidRPr="00995DE0" w:rsidRDefault="00A4718A" w:rsidP="00C065CC">
            <w:r w:rsidRPr="00995DE0">
              <w:t>Неэффективные расходы</w:t>
            </w:r>
          </w:p>
        </w:tc>
        <w:tc>
          <w:tcPr>
            <w:tcW w:w="1440" w:type="dxa"/>
          </w:tcPr>
          <w:p w:rsidR="00A4718A" w:rsidRPr="00995DE0" w:rsidRDefault="00DD10A2" w:rsidP="00521062">
            <w:pPr>
              <w:jc w:val="center"/>
            </w:pPr>
            <w:r w:rsidRPr="00995DE0">
              <w:t>1</w:t>
            </w:r>
            <w:r w:rsidR="000A1418">
              <w:t>7,6</w:t>
            </w:r>
          </w:p>
        </w:tc>
        <w:tc>
          <w:tcPr>
            <w:tcW w:w="1800" w:type="dxa"/>
          </w:tcPr>
          <w:p w:rsidR="00A4718A" w:rsidRPr="00995DE0" w:rsidRDefault="00D252AB" w:rsidP="004841F4">
            <w:pPr>
              <w:jc w:val="center"/>
            </w:pPr>
            <w:r w:rsidRPr="00995DE0">
              <w:t>1</w:t>
            </w:r>
            <w:r w:rsidR="00F410D5" w:rsidRPr="00995DE0">
              <w:t>6</w:t>
            </w:r>
            <w:r w:rsidR="000A1418">
              <w:t>,</w:t>
            </w:r>
            <w:r w:rsidR="00F410D5" w:rsidRPr="00995DE0">
              <w:t>55</w:t>
            </w:r>
            <w:r w:rsidR="00DC3D5A" w:rsidRPr="00995DE0">
              <w:t xml:space="preserve"> </w:t>
            </w:r>
          </w:p>
        </w:tc>
        <w:tc>
          <w:tcPr>
            <w:tcW w:w="1440" w:type="dxa"/>
          </w:tcPr>
          <w:p w:rsidR="00A4718A" w:rsidRPr="00995DE0" w:rsidRDefault="00DD10A2" w:rsidP="004841F4">
            <w:pPr>
              <w:jc w:val="center"/>
            </w:pPr>
            <w:r w:rsidRPr="00995DE0">
              <w:t>1</w:t>
            </w:r>
            <w:r w:rsidR="000A1418">
              <w:t>06</w:t>
            </w:r>
            <w:r w:rsidR="00AA71AA">
              <w:t>,3</w:t>
            </w:r>
          </w:p>
        </w:tc>
      </w:tr>
    </w:tbl>
    <w:p w:rsidR="00237354" w:rsidRDefault="00237354" w:rsidP="00C065CC"/>
    <w:p w:rsidR="00237354" w:rsidRDefault="00237354" w:rsidP="00C065CC">
      <w:r>
        <w:tab/>
        <w:t xml:space="preserve">В 2012 году в районе отремонтировано </w:t>
      </w:r>
      <w:smartTag w:uri="urn:schemas-microsoft-com:office:smarttags" w:element="metricconverter">
        <w:smartTagPr>
          <w:attr w:name="ProductID" w:val="130,9 км"/>
        </w:smartTagPr>
        <w:r>
          <w:t>130,9 км</w:t>
        </w:r>
      </w:smartTag>
      <w:r>
        <w:t>. дорог. Расходы консолидирова</w:t>
      </w:r>
      <w:r>
        <w:t>н</w:t>
      </w:r>
      <w:r>
        <w:t>ного бюджета на дорожное хозяйство составили 172,6 млн.руб.</w:t>
      </w:r>
    </w:p>
    <w:p w:rsidR="00E11D63" w:rsidRPr="00995DE0" w:rsidRDefault="00E11D63" w:rsidP="00C065CC"/>
    <w:p w:rsidR="00F5510D" w:rsidRPr="00995DE0" w:rsidRDefault="004B234B" w:rsidP="004B234B">
      <w:pPr>
        <w:jc w:val="both"/>
      </w:pPr>
      <w:r w:rsidRPr="00995DE0">
        <w:t xml:space="preserve">            </w:t>
      </w:r>
      <w:r w:rsidR="00836861" w:rsidRPr="00995DE0">
        <w:t>В 201</w:t>
      </w:r>
      <w:r w:rsidR="00E92BB3" w:rsidRPr="00995DE0">
        <w:t>2</w:t>
      </w:r>
      <w:r w:rsidR="00836861" w:rsidRPr="00995DE0">
        <w:t xml:space="preserve"> году </w:t>
      </w:r>
      <w:r w:rsidR="00C102AD" w:rsidRPr="00995DE0">
        <w:t>тарифы на</w:t>
      </w:r>
      <w:r w:rsidR="00836861" w:rsidRPr="00995DE0">
        <w:t xml:space="preserve"> коммунальные услуги </w:t>
      </w:r>
      <w:r w:rsidR="00CC18EA">
        <w:t xml:space="preserve"> увеличились с 1 июля и с</w:t>
      </w:r>
      <w:r w:rsidR="00B77365">
        <w:t xml:space="preserve"> </w:t>
      </w:r>
      <w:r w:rsidR="00CC18EA">
        <w:t xml:space="preserve">1 сентября. За </w:t>
      </w:r>
      <w:r w:rsidR="00D077B5">
        <w:t>12</w:t>
      </w:r>
      <w:r w:rsidR="00CC18EA">
        <w:t xml:space="preserve"> месяцев</w:t>
      </w:r>
      <w:r w:rsidR="003B1F3D" w:rsidRPr="00995DE0">
        <w:t xml:space="preserve"> </w:t>
      </w:r>
      <w:r w:rsidR="00836861" w:rsidRPr="00995DE0">
        <w:t>т.г.</w:t>
      </w:r>
      <w:r w:rsidR="00F5510D" w:rsidRPr="00995DE0">
        <w:t xml:space="preserve"> </w:t>
      </w:r>
      <w:r w:rsidR="00B30007" w:rsidRPr="00995DE0">
        <w:t xml:space="preserve">фактический сбор </w:t>
      </w:r>
      <w:r w:rsidR="00F5510D" w:rsidRPr="00995DE0">
        <w:t xml:space="preserve"> платежей граждан по всем видам коммунальных услуг  составил </w:t>
      </w:r>
      <w:r w:rsidR="00940FB1">
        <w:t>1</w:t>
      </w:r>
      <w:r w:rsidR="00D077B5">
        <w:t>09</w:t>
      </w:r>
      <w:r w:rsidR="009448D3" w:rsidRPr="00995DE0">
        <w:t xml:space="preserve"> </w:t>
      </w:r>
      <w:r w:rsidR="00E92BB3" w:rsidRPr="00995DE0">
        <w:t xml:space="preserve">% </w:t>
      </w:r>
      <w:r w:rsidR="00404094" w:rsidRPr="00995DE0">
        <w:t xml:space="preserve"> от суммы начисленных платежей. </w:t>
      </w:r>
      <w:r w:rsidR="00836861" w:rsidRPr="00995DE0">
        <w:t xml:space="preserve"> </w:t>
      </w:r>
      <w:r w:rsidR="003D7124" w:rsidRPr="00995DE0">
        <w:t>С</w:t>
      </w:r>
      <w:r w:rsidR="00C102AD" w:rsidRPr="00995DE0">
        <w:t xml:space="preserve">умма задолженности </w:t>
      </w:r>
      <w:r w:rsidR="003D7124" w:rsidRPr="00995DE0">
        <w:t>насел</w:t>
      </w:r>
      <w:r w:rsidR="003D7124" w:rsidRPr="00995DE0">
        <w:t>е</w:t>
      </w:r>
      <w:r w:rsidR="003D7124" w:rsidRPr="00995DE0">
        <w:t>ния за комм</w:t>
      </w:r>
      <w:r w:rsidR="003D7124" w:rsidRPr="00995DE0">
        <w:t>у</w:t>
      </w:r>
      <w:r w:rsidR="003D7124" w:rsidRPr="00995DE0">
        <w:t xml:space="preserve">нальные услуги </w:t>
      </w:r>
      <w:r w:rsidR="00836861" w:rsidRPr="00995DE0">
        <w:t xml:space="preserve"> </w:t>
      </w:r>
      <w:r w:rsidR="006D6027" w:rsidRPr="00995DE0">
        <w:t xml:space="preserve">по состоянию на </w:t>
      </w:r>
      <w:r w:rsidR="00836861" w:rsidRPr="00995DE0">
        <w:t xml:space="preserve">1 </w:t>
      </w:r>
      <w:r w:rsidR="00CC18EA">
        <w:t>октября 2</w:t>
      </w:r>
      <w:r w:rsidR="00836861" w:rsidRPr="00995DE0">
        <w:t>01</w:t>
      </w:r>
      <w:r w:rsidR="00E92BB3" w:rsidRPr="00995DE0">
        <w:t>2</w:t>
      </w:r>
      <w:r w:rsidR="00836861" w:rsidRPr="00995DE0">
        <w:t xml:space="preserve"> года </w:t>
      </w:r>
      <w:r w:rsidR="006D6027" w:rsidRPr="00995DE0">
        <w:t xml:space="preserve"> </w:t>
      </w:r>
      <w:r w:rsidR="003D7124" w:rsidRPr="00995DE0">
        <w:t xml:space="preserve">составляет </w:t>
      </w:r>
      <w:r w:rsidR="006D6027" w:rsidRPr="00995DE0">
        <w:t xml:space="preserve"> </w:t>
      </w:r>
      <w:r w:rsidR="00CC18EA">
        <w:t>5</w:t>
      </w:r>
      <w:r w:rsidR="00D077B5">
        <w:t>8</w:t>
      </w:r>
      <w:r w:rsidR="00CC18EA">
        <w:t>,3</w:t>
      </w:r>
      <w:r w:rsidR="00836861" w:rsidRPr="00995DE0">
        <w:t xml:space="preserve"> млн.</w:t>
      </w:r>
      <w:r w:rsidR="00A23E8E" w:rsidRPr="00995DE0">
        <w:t xml:space="preserve"> </w:t>
      </w:r>
      <w:r w:rsidR="00836861" w:rsidRPr="00995DE0">
        <w:t xml:space="preserve">руб. </w:t>
      </w:r>
    </w:p>
    <w:p w:rsidR="0092064F" w:rsidRDefault="0092064F" w:rsidP="004B234B">
      <w:pPr>
        <w:jc w:val="both"/>
      </w:pPr>
    </w:p>
    <w:p w:rsidR="00F5510D" w:rsidRPr="00995DE0" w:rsidRDefault="00F5510D" w:rsidP="004B234B">
      <w:pPr>
        <w:jc w:val="both"/>
      </w:pPr>
      <w:r w:rsidRPr="00995DE0">
        <w:tab/>
        <w:t>В основных направлениях антикризисных действий</w:t>
      </w:r>
      <w:r w:rsidR="001C0E41" w:rsidRPr="00995DE0">
        <w:t xml:space="preserve"> Правительства предполагае</w:t>
      </w:r>
      <w:r w:rsidR="001C0E41" w:rsidRPr="00995DE0">
        <w:t>т</w:t>
      </w:r>
      <w:r w:rsidR="001C0E41" w:rsidRPr="00995DE0">
        <w:t>ся постепенное смещение акцентов с мер социальной поддержки на модернизацию отеч</w:t>
      </w:r>
      <w:r w:rsidR="001C0E41" w:rsidRPr="00995DE0">
        <w:t>е</w:t>
      </w:r>
      <w:r w:rsidR="001C0E41" w:rsidRPr="00995DE0">
        <w:t>ственной экономики. К числу первоочередных задач относится сохранение и развитие промышленного и технологического потенциала для будущего роста.</w:t>
      </w:r>
    </w:p>
    <w:p w:rsidR="00CC18EA" w:rsidRDefault="001C0E41" w:rsidP="00CC18EA">
      <w:pPr>
        <w:jc w:val="both"/>
      </w:pPr>
      <w:r w:rsidRPr="00995DE0">
        <w:t xml:space="preserve">  </w:t>
      </w:r>
      <w:r w:rsidRPr="00995DE0">
        <w:tab/>
        <w:t>В 201</w:t>
      </w:r>
      <w:r w:rsidR="00B83837" w:rsidRPr="00995DE0">
        <w:t>2</w:t>
      </w:r>
      <w:r w:rsidRPr="00995DE0">
        <w:t xml:space="preserve"> году в стадии реализации находи</w:t>
      </w:r>
      <w:r w:rsidR="00404094" w:rsidRPr="00995DE0">
        <w:t>тся</w:t>
      </w:r>
      <w:r w:rsidRPr="00995DE0">
        <w:t xml:space="preserve"> </w:t>
      </w:r>
      <w:r w:rsidR="00B83837" w:rsidRPr="00995DE0">
        <w:t>1</w:t>
      </w:r>
      <w:r w:rsidR="00EF3FA1">
        <w:t>6</w:t>
      </w:r>
      <w:r w:rsidRPr="00995DE0">
        <w:t xml:space="preserve"> инвестиционных проектов, в их чи</w:t>
      </w:r>
      <w:r w:rsidRPr="00995DE0">
        <w:t>с</w:t>
      </w:r>
      <w:r w:rsidRPr="00995DE0">
        <w:t xml:space="preserve">ле строительство </w:t>
      </w:r>
      <w:r w:rsidR="00B83837" w:rsidRPr="00995DE0">
        <w:t xml:space="preserve">цеха ПВХ, </w:t>
      </w:r>
      <w:r w:rsidR="00861554" w:rsidRPr="00995DE0">
        <w:t xml:space="preserve"> </w:t>
      </w:r>
      <w:r w:rsidR="00404094" w:rsidRPr="00995DE0">
        <w:t>строительство сельскохозяйственной фермы, реконс</w:t>
      </w:r>
      <w:r w:rsidR="00404094" w:rsidRPr="00995DE0">
        <w:t>т</w:t>
      </w:r>
      <w:r w:rsidR="00404094" w:rsidRPr="00995DE0">
        <w:t>рукция базы отдыха «Приют охотника», строит</w:t>
      </w:r>
      <w:r w:rsidR="0051330B" w:rsidRPr="00995DE0">
        <w:t xml:space="preserve">ельство </w:t>
      </w:r>
      <w:r w:rsidR="00EF3FA1">
        <w:t xml:space="preserve">АЗС, </w:t>
      </w:r>
      <w:r w:rsidR="0051330B" w:rsidRPr="00995DE0">
        <w:t>торгово-офисного центра</w:t>
      </w:r>
      <w:r w:rsidR="00EF3FA1">
        <w:t>, открытие производств</w:t>
      </w:r>
      <w:r w:rsidR="00C539AF">
        <w:t xml:space="preserve">а </w:t>
      </w:r>
      <w:r w:rsidR="00EF3FA1">
        <w:t>комплектующих для детской мебели</w:t>
      </w:r>
      <w:r w:rsidR="00C539AF">
        <w:t xml:space="preserve"> и переработке</w:t>
      </w:r>
      <w:r w:rsidR="00EF3FA1">
        <w:t xml:space="preserve"> леса, строительство а</w:t>
      </w:r>
      <w:r w:rsidR="00EF3FA1">
        <w:t>в</w:t>
      </w:r>
      <w:r w:rsidR="00EF3FA1">
        <w:t>тостанции, цеха по производству тротуарной плитки</w:t>
      </w:r>
      <w:r w:rsidR="0092064F">
        <w:t>, цеха вермикулирования</w:t>
      </w:r>
      <w:r w:rsidR="00EF3FA1">
        <w:t>.</w:t>
      </w:r>
      <w:r w:rsidR="00530071" w:rsidRPr="00995DE0">
        <w:rPr>
          <w:sz w:val="28"/>
          <w:szCs w:val="28"/>
        </w:rPr>
        <w:t xml:space="preserve"> </w:t>
      </w:r>
      <w:r w:rsidR="00530071" w:rsidRPr="00995DE0">
        <w:t>В насто</w:t>
      </w:r>
      <w:r w:rsidR="00530071" w:rsidRPr="00995DE0">
        <w:t>я</w:t>
      </w:r>
      <w:r w:rsidR="00530071" w:rsidRPr="00995DE0">
        <w:t>щее время прорабатывается инвестиционный проект по строительству газотурбинной те</w:t>
      </w:r>
      <w:r w:rsidR="00530071" w:rsidRPr="00995DE0">
        <w:t>п</w:t>
      </w:r>
      <w:r w:rsidR="00530071" w:rsidRPr="00995DE0">
        <w:t>ловой эле</w:t>
      </w:r>
      <w:r w:rsidR="00530071" w:rsidRPr="00995DE0">
        <w:t>к</w:t>
      </w:r>
      <w:r w:rsidR="00530071" w:rsidRPr="00995DE0">
        <w:t>тростанции «Валдай» мощностью 85 МВТ (мегаватт), на строительстве которой будет занято около 600 человек, а в дальнейшем, при эксплуатации станции – 150 работ</w:t>
      </w:r>
      <w:r w:rsidR="00530071" w:rsidRPr="00995DE0">
        <w:t>а</w:t>
      </w:r>
      <w:r w:rsidR="00530071" w:rsidRPr="00995DE0">
        <w:t>ющих. Это позволит усилить привлекательность города для инвесторов и создать допо</w:t>
      </w:r>
      <w:r w:rsidR="00530071" w:rsidRPr="00995DE0">
        <w:t>л</w:t>
      </w:r>
      <w:r w:rsidR="00530071" w:rsidRPr="00995DE0">
        <w:t>нительные р</w:t>
      </w:r>
      <w:r w:rsidR="00530071" w:rsidRPr="00995DE0">
        <w:t>а</w:t>
      </w:r>
      <w:r w:rsidR="00530071" w:rsidRPr="00995DE0">
        <w:t>бочие места для жителей района.</w:t>
      </w:r>
    </w:p>
    <w:p w:rsidR="00861554" w:rsidRPr="00995DE0" w:rsidRDefault="00861554" w:rsidP="00CC18EA">
      <w:pPr>
        <w:jc w:val="both"/>
      </w:pPr>
      <w:r w:rsidRPr="00995DE0">
        <w:tab/>
        <w:t>В базу данных области для поиска потенциальных инвесторов направлены  пак</w:t>
      </w:r>
      <w:r w:rsidRPr="00995DE0">
        <w:t>е</w:t>
      </w:r>
      <w:r w:rsidRPr="00995DE0">
        <w:t xml:space="preserve">ты документов по </w:t>
      </w:r>
      <w:r w:rsidR="001728BD" w:rsidRPr="00995DE0">
        <w:t>1</w:t>
      </w:r>
      <w:r w:rsidR="00F01E76">
        <w:t>9</w:t>
      </w:r>
      <w:r w:rsidRPr="00995DE0">
        <w:t xml:space="preserve"> свободным площадкам</w:t>
      </w:r>
      <w:r w:rsidR="003B1F3D" w:rsidRPr="00995DE0">
        <w:t>.</w:t>
      </w:r>
    </w:p>
    <w:p w:rsidR="003D5742" w:rsidRPr="00995DE0" w:rsidRDefault="003D5742" w:rsidP="00C065CC">
      <w:r w:rsidRPr="00995DE0">
        <w:tab/>
      </w:r>
    </w:p>
    <w:p w:rsidR="003D5742" w:rsidRPr="00C32308" w:rsidRDefault="003D5742" w:rsidP="003D5742">
      <w:pPr>
        <w:jc w:val="center"/>
        <w:rPr>
          <w:b/>
          <w:sz w:val="28"/>
          <w:szCs w:val="28"/>
        </w:rPr>
      </w:pPr>
      <w:r w:rsidRPr="00C32308">
        <w:rPr>
          <w:b/>
          <w:sz w:val="28"/>
          <w:szCs w:val="28"/>
        </w:rPr>
        <w:t>ПРОМЫШЛЕННОСТЬ.</w:t>
      </w:r>
    </w:p>
    <w:p w:rsidR="001C4ACC" w:rsidRPr="00995DE0" w:rsidRDefault="001C4ACC" w:rsidP="003D5742">
      <w:pPr>
        <w:jc w:val="center"/>
        <w:rPr>
          <w:b/>
        </w:rPr>
      </w:pPr>
    </w:p>
    <w:p w:rsidR="003D5742" w:rsidRPr="00995DE0" w:rsidRDefault="004B234B" w:rsidP="004B234B">
      <w:pPr>
        <w:jc w:val="both"/>
      </w:pPr>
      <w:r w:rsidRPr="00995DE0">
        <w:t xml:space="preserve">           </w:t>
      </w:r>
      <w:r w:rsidR="003D5742" w:rsidRPr="00995DE0">
        <w:t xml:space="preserve">Объём </w:t>
      </w:r>
      <w:r w:rsidR="001C4ACC" w:rsidRPr="00995DE0">
        <w:t>отгруженных товаров собственного производства</w:t>
      </w:r>
      <w:r w:rsidR="001C196B" w:rsidRPr="00995DE0">
        <w:t>, выполненных работ и услуг по фактическим видам экономической деятельности  ( без субъектов малого пре</w:t>
      </w:r>
      <w:r w:rsidR="001C196B" w:rsidRPr="00995DE0">
        <w:t>д</w:t>
      </w:r>
      <w:r w:rsidR="001C196B" w:rsidRPr="00995DE0">
        <w:t xml:space="preserve">принимательства) </w:t>
      </w:r>
      <w:r w:rsidR="001C196B" w:rsidRPr="00902237">
        <w:t>в</w:t>
      </w:r>
      <w:r w:rsidR="004A56A7" w:rsidRPr="00902237">
        <w:t xml:space="preserve"> </w:t>
      </w:r>
      <w:r w:rsidR="00FB2E95" w:rsidRPr="00902237">
        <w:t>январе-</w:t>
      </w:r>
      <w:r w:rsidR="0036652A" w:rsidRPr="00902237">
        <w:t xml:space="preserve"> </w:t>
      </w:r>
      <w:r w:rsidR="00902237" w:rsidRPr="00902237">
        <w:t>ноябре</w:t>
      </w:r>
      <w:r w:rsidR="001C196B" w:rsidRPr="00902237">
        <w:t xml:space="preserve"> 201</w:t>
      </w:r>
      <w:r w:rsidR="00462845" w:rsidRPr="00902237">
        <w:t>2</w:t>
      </w:r>
      <w:r w:rsidR="001C196B" w:rsidRPr="00902237">
        <w:t xml:space="preserve"> год</w:t>
      </w:r>
      <w:r w:rsidR="004A56A7" w:rsidRPr="00902237">
        <w:t>а</w:t>
      </w:r>
      <w:r w:rsidR="001C196B" w:rsidRPr="00902237">
        <w:t xml:space="preserve"> составил  </w:t>
      </w:r>
      <w:r w:rsidR="002B2446" w:rsidRPr="00902237">
        <w:t>1</w:t>
      </w:r>
      <w:r w:rsidR="002F32FC">
        <w:t>60,5</w:t>
      </w:r>
      <w:r w:rsidR="00FB2E95" w:rsidRPr="00902237">
        <w:t xml:space="preserve"> </w:t>
      </w:r>
      <w:r w:rsidR="004A56A7" w:rsidRPr="00902237">
        <w:t>млн.</w:t>
      </w:r>
      <w:r w:rsidR="001C196B" w:rsidRPr="00902237">
        <w:t xml:space="preserve">руб. или </w:t>
      </w:r>
      <w:r w:rsidR="002F32FC">
        <w:t>97,7</w:t>
      </w:r>
      <w:r w:rsidR="001728BD" w:rsidRPr="00902237">
        <w:t xml:space="preserve"> </w:t>
      </w:r>
      <w:r w:rsidR="001C196B" w:rsidRPr="00902237">
        <w:t>% к уро</w:t>
      </w:r>
      <w:r w:rsidR="001C196B" w:rsidRPr="00902237">
        <w:t>в</w:t>
      </w:r>
      <w:r w:rsidR="001C196B" w:rsidRPr="00902237">
        <w:t>ню 20</w:t>
      </w:r>
      <w:r w:rsidR="004A56A7" w:rsidRPr="00902237">
        <w:t>1</w:t>
      </w:r>
      <w:r w:rsidR="00462845" w:rsidRPr="00902237">
        <w:t>1</w:t>
      </w:r>
      <w:r w:rsidR="001C196B" w:rsidRPr="00902237">
        <w:t xml:space="preserve"> г</w:t>
      </w:r>
      <w:r w:rsidR="001C196B" w:rsidRPr="00902237">
        <w:t>о</w:t>
      </w:r>
      <w:r w:rsidR="00FB2E95" w:rsidRPr="00902237">
        <w:t>да( по области 1</w:t>
      </w:r>
      <w:r w:rsidR="0036652A" w:rsidRPr="00902237">
        <w:t>0</w:t>
      </w:r>
      <w:r w:rsidR="002F32FC">
        <w:t>4,9</w:t>
      </w:r>
      <w:r w:rsidR="00FB2E95" w:rsidRPr="00902237">
        <w:t>%)</w:t>
      </w:r>
    </w:p>
    <w:p w:rsidR="0097119A" w:rsidRPr="00995DE0" w:rsidRDefault="001C196B" w:rsidP="006773B9">
      <w:pPr>
        <w:jc w:val="center"/>
      </w:pPr>
      <w:r w:rsidRPr="00995DE0">
        <w:t>Объём отгруженных товаров по крупным и средним предприятиям</w:t>
      </w:r>
      <w:r w:rsidR="004B0EFE" w:rsidRPr="00995DE0">
        <w:t xml:space="preserve"> за  2012 г</w:t>
      </w:r>
      <w:r w:rsidR="004B0EFE" w:rsidRPr="00995DE0">
        <w:t>о</w:t>
      </w:r>
      <w:r w:rsidR="0057789D">
        <w:t>д</w:t>
      </w:r>
      <w:r w:rsidRPr="00995DE0">
        <w:t>.</w:t>
      </w:r>
    </w:p>
    <w:p w:rsidR="00F34754" w:rsidRPr="00995DE0" w:rsidRDefault="006773B9" w:rsidP="006773B9">
      <w:pPr>
        <w:jc w:val="center"/>
      </w:pPr>
      <w:r w:rsidRPr="00995DE0">
        <w:t xml:space="preserve">                                                                                                  </w:t>
      </w:r>
      <w:r w:rsidR="00156D44" w:rsidRPr="00995DE0">
        <w:t>тыс.руб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4248"/>
        <w:gridCol w:w="1080"/>
        <w:gridCol w:w="1080"/>
        <w:gridCol w:w="1800"/>
      </w:tblGrid>
      <w:tr w:rsidR="00F34754" w:rsidRPr="00995DE0">
        <w:tc>
          <w:tcPr>
            <w:tcW w:w="4248" w:type="dxa"/>
          </w:tcPr>
          <w:p w:rsidR="00F34754" w:rsidRPr="00995DE0" w:rsidRDefault="00F34754" w:rsidP="00F34754">
            <w:r w:rsidRPr="00995DE0">
              <w:t>Наименование предпр</w:t>
            </w:r>
            <w:r w:rsidRPr="00995DE0">
              <w:t>и</w:t>
            </w:r>
            <w:r w:rsidRPr="00995DE0">
              <w:t>ятия</w:t>
            </w:r>
          </w:p>
        </w:tc>
        <w:tc>
          <w:tcPr>
            <w:tcW w:w="1080" w:type="dxa"/>
          </w:tcPr>
          <w:p w:rsidR="00F34754" w:rsidRPr="00995DE0" w:rsidRDefault="00F34754" w:rsidP="00EF2117">
            <w:pPr>
              <w:jc w:val="center"/>
            </w:pPr>
            <w:r w:rsidRPr="00995DE0">
              <w:t>201</w:t>
            </w:r>
            <w:r w:rsidR="00462845" w:rsidRPr="00995DE0">
              <w:t>2</w:t>
            </w:r>
            <w:r w:rsidRPr="00995DE0">
              <w:t xml:space="preserve"> год</w:t>
            </w:r>
          </w:p>
        </w:tc>
        <w:tc>
          <w:tcPr>
            <w:tcW w:w="1080" w:type="dxa"/>
          </w:tcPr>
          <w:p w:rsidR="00F34754" w:rsidRPr="00995DE0" w:rsidRDefault="00F34754" w:rsidP="00EF2117">
            <w:pPr>
              <w:jc w:val="center"/>
            </w:pPr>
            <w:r w:rsidRPr="00995DE0">
              <w:t>20</w:t>
            </w:r>
            <w:r w:rsidR="00B83E8F" w:rsidRPr="00995DE0">
              <w:t>1</w:t>
            </w:r>
            <w:r w:rsidR="00462845" w:rsidRPr="00995DE0">
              <w:t>1</w:t>
            </w:r>
            <w:r w:rsidRPr="00995DE0">
              <w:t xml:space="preserve"> год</w:t>
            </w:r>
          </w:p>
        </w:tc>
        <w:tc>
          <w:tcPr>
            <w:tcW w:w="1800" w:type="dxa"/>
          </w:tcPr>
          <w:p w:rsidR="00F34754" w:rsidRPr="00995DE0" w:rsidRDefault="00F34754" w:rsidP="00EF2117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995DE0">
                <w:t>201</w:t>
              </w:r>
              <w:r w:rsidR="00CC5F0D" w:rsidRPr="00995DE0">
                <w:rPr>
                  <w:lang w:val="en-US"/>
                </w:rPr>
                <w:t>2</w:t>
              </w:r>
              <w:r w:rsidRPr="00995DE0">
                <w:t xml:space="preserve"> г</w:t>
              </w:r>
            </w:smartTag>
            <w:r w:rsidRPr="00995DE0">
              <w:t>.</w:t>
            </w:r>
            <w:r w:rsidR="00B83E8F" w:rsidRPr="00995DE0">
              <w:t xml:space="preserve"> </w:t>
            </w:r>
            <w:r w:rsidRPr="00995DE0">
              <w:t xml:space="preserve">в % к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95DE0">
                <w:t>20</w:t>
              </w:r>
              <w:r w:rsidR="00B83E8F" w:rsidRPr="00995DE0">
                <w:t>1</w:t>
              </w:r>
              <w:r w:rsidR="00CC5F0D" w:rsidRPr="00995DE0">
                <w:rPr>
                  <w:lang w:val="en-US"/>
                </w:rPr>
                <w:t>1</w:t>
              </w:r>
              <w:r w:rsidRPr="00995DE0">
                <w:t xml:space="preserve"> г</w:t>
              </w:r>
            </w:smartTag>
            <w:r w:rsidRPr="00995DE0">
              <w:t>.</w:t>
            </w:r>
          </w:p>
        </w:tc>
      </w:tr>
      <w:tr w:rsidR="005B16D4" w:rsidRPr="00995DE0">
        <w:tc>
          <w:tcPr>
            <w:tcW w:w="4248" w:type="dxa"/>
          </w:tcPr>
          <w:p w:rsidR="005B16D4" w:rsidRPr="00995DE0" w:rsidRDefault="005B16D4" w:rsidP="009929B8">
            <w:pPr>
              <w:pStyle w:val="a9"/>
              <w:spacing w:before="120"/>
              <w:ind w:firstLine="0"/>
              <w:jc w:val="both"/>
              <w:rPr>
                <w:sz w:val="24"/>
                <w:szCs w:val="24"/>
              </w:rPr>
            </w:pPr>
            <w:r w:rsidRPr="00995DE0">
              <w:rPr>
                <w:sz w:val="24"/>
                <w:szCs w:val="24"/>
              </w:rPr>
              <w:lastRenderedPageBreak/>
              <w:t>ЗАО «Завод  Юп</w:t>
            </w:r>
            <w:r w:rsidRPr="00995DE0">
              <w:rPr>
                <w:sz w:val="24"/>
                <w:szCs w:val="24"/>
              </w:rPr>
              <w:t>и</w:t>
            </w:r>
            <w:r w:rsidRPr="00995DE0">
              <w:rPr>
                <w:sz w:val="24"/>
                <w:szCs w:val="24"/>
              </w:rPr>
              <w:t>тер»</w:t>
            </w:r>
          </w:p>
        </w:tc>
        <w:tc>
          <w:tcPr>
            <w:tcW w:w="1080" w:type="dxa"/>
          </w:tcPr>
          <w:p w:rsidR="005B16D4" w:rsidRPr="00995DE0" w:rsidRDefault="00736999" w:rsidP="00EF2117">
            <w:pPr>
              <w:jc w:val="center"/>
            </w:pPr>
            <w:r>
              <w:t>79323</w:t>
            </w:r>
          </w:p>
        </w:tc>
        <w:tc>
          <w:tcPr>
            <w:tcW w:w="1080" w:type="dxa"/>
          </w:tcPr>
          <w:p w:rsidR="005B16D4" w:rsidRPr="00995DE0" w:rsidRDefault="00736999" w:rsidP="00EF2117">
            <w:pPr>
              <w:jc w:val="center"/>
            </w:pPr>
            <w:r>
              <w:t>63156</w:t>
            </w:r>
          </w:p>
        </w:tc>
        <w:tc>
          <w:tcPr>
            <w:tcW w:w="1800" w:type="dxa"/>
          </w:tcPr>
          <w:p w:rsidR="005B16D4" w:rsidRPr="00995DE0" w:rsidRDefault="00736999" w:rsidP="00EF2117">
            <w:pPr>
              <w:jc w:val="center"/>
            </w:pPr>
            <w:r>
              <w:t>125,6</w:t>
            </w:r>
          </w:p>
        </w:tc>
      </w:tr>
      <w:tr w:rsidR="00F34754" w:rsidRPr="00995DE0">
        <w:tc>
          <w:tcPr>
            <w:tcW w:w="4248" w:type="dxa"/>
          </w:tcPr>
          <w:p w:rsidR="00F34754" w:rsidRPr="00995DE0" w:rsidRDefault="00F34754" w:rsidP="009929B8">
            <w:pPr>
              <w:pStyle w:val="a9"/>
              <w:spacing w:before="120"/>
              <w:ind w:firstLine="0"/>
              <w:jc w:val="both"/>
              <w:rPr>
                <w:sz w:val="24"/>
                <w:szCs w:val="24"/>
              </w:rPr>
            </w:pPr>
            <w:r w:rsidRPr="00995DE0">
              <w:rPr>
                <w:sz w:val="24"/>
                <w:szCs w:val="24"/>
              </w:rPr>
              <w:t>ФБУ ИК-4</w:t>
            </w:r>
          </w:p>
        </w:tc>
        <w:tc>
          <w:tcPr>
            <w:tcW w:w="1080" w:type="dxa"/>
          </w:tcPr>
          <w:p w:rsidR="00F34754" w:rsidRPr="00995DE0" w:rsidRDefault="00736999" w:rsidP="00EF2117">
            <w:pPr>
              <w:jc w:val="center"/>
            </w:pPr>
            <w:r>
              <w:t>20125</w:t>
            </w:r>
          </w:p>
        </w:tc>
        <w:tc>
          <w:tcPr>
            <w:tcW w:w="1080" w:type="dxa"/>
          </w:tcPr>
          <w:p w:rsidR="00F34754" w:rsidRPr="00995DE0" w:rsidRDefault="00736999" w:rsidP="00EF2117">
            <w:pPr>
              <w:jc w:val="center"/>
            </w:pPr>
            <w:r>
              <w:t>34742</w:t>
            </w:r>
          </w:p>
        </w:tc>
        <w:tc>
          <w:tcPr>
            <w:tcW w:w="1800" w:type="dxa"/>
          </w:tcPr>
          <w:p w:rsidR="00F34754" w:rsidRPr="00995DE0" w:rsidRDefault="00736999" w:rsidP="00EF2117">
            <w:pPr>
              <w:jc w:val="center"/>
            </w:pPr>
            <w:r>
              <w:t>57,9</w:t>
            </w:r>
          </w:p>
        </w:tc>
      </w:tr>
      <w:tr w:rsidR="00F34754" w:rsidRPr="00995DE0">
        <w:tc>
          <w:tcPr>
            <w:tcW w:w="4248" w:type="dxa"/>
          </w:tcPr>
          <w:p w:rsidR="00F34754" w:rsidRPr="00995DE0" w:rsidRDefault="005B16D4" w:rsidP="009929B8">
            <w:pPr>
              <w:pStyle w:val="a9"/>
              <w:spacing w:before="120"/>
              <w:ind w:firstLine="0"/>
              <w:jc w:val="both"/>
              <w:rPr>
                <w:sz w:val="24"/>
                <w:szCs w:val="24"/>
              </w:rPr>
            </w:pPr>
            <w:r w:rsidRPr="00995DE0">
              <w:rPr>
                <w:sz w:val="24"/>
                <w:szCs w:val="24"/>
              </w:rPr>
              <w:t>ООО «Валдайлесстрой»</w:t>
            </w:r>
          </w:p>
        </w:tc>
        <w:tc>
          <w:tcPr>
            <w:tcW w:w="1080" w:type="dxa"/>
          </w:tcPr>
          <w:p w:rsidR="00F34754" w:rsidRPr="00995DE0" w:rsidRDefault="00736999" w:rsidP="00EF2117">
            <w:pPr>
              <w:jc w:val="center"/>
            </w:pPr>
            <w:r>
              <w:t>17982</w:t>
            </w:r>
          </w:p>
        </w:tc>
        <w:tc>
          <w:tcPr>
            <w:tcW w:w="1080" w:type="dxa"/>
          </w:tcPr>
          <w:p w:rsidR="00F34754" w:rsidRPr="00995DE0" w:rsidRDefault="00736999" w:rsidP="00EF2117">
            <w:pPr>
              <w:jc w:val="center"/>
            </w:pPr>
            <w:r>
              <w:t>15722</w:t>
            </w:r>
          </w:p>
        </w:tc>
        <w:tc>
          <w:tcPr>
            <w:tcW w:w="1800" w:type="dxa"/>
          </w:tcPr>
          <w:p w:rsidR="00F34754" w:rsidRPr="00995DE0" w:rsidRDefault="00736999" w:rsidP="00EF2117">
            <w:pPr>
              <w:jc w:val="center"/>
            </w:pPr>
            <w:r>
              <w:t>114,4</w:t>
            </w:r>
          </w:p>
        </w:tc>
      </w:tr>
    </w:tbl>
    <w:p w:rsidR="004B234B" w:rsidRPr="00995DE0" w:rsidRDefault="00D00450" w:rsidP="00F34754">
      <w:r w:rsidRPr="00995DE0">
        <w:t xml:space="preserve"> </w:t>
      </w:r>
    </w:p>
    <w:p w:rsidR="00C53688" w:rsidRPr="00995DE0" w:rsidRDefault="004B234B" w:rsidP="00393E65">
      <w:r w:rsidRPr="00995DE0">
        <w:t xml:space="preserve">          </w:t>
      </w:r>
      <w:r w:rsidR="00393E65" w:rsidRPr="00995DE0">
        <w:t>В</w:t>
      </w:r>
      <w:r w:rsidR="00393E65" w:rsidRPr="00995DE0">
        <w:rPr>
          <w:sz w:val="28"/>
          <w:szCs w:val="28"/>
        </w:rPr>
        <w:t xml:space="preserve"> </w:t>
      </w:r>
      <w:r w:rsidR="00393E65" w:rsidRPr="00995DE0">
        <w:t xml:space="preserve">промышленном производстве </w:t>
      </w:r>
      <w:r w:rsidR="00E8731D" w:rsidRPr="00995DE0">
        <w:t>о</w:t>
      </w:r>
      <w:r w:rsidR="00393E65" w:rsidRPr="00995DE0">
        <w:t xml:space="preserve">бъем реализации продукции </w:t>
      </w:r>
      <w:r w:rsidR="00E8731D" w:rsidRPr="00995DE0">
        <w:t>на заводе «Юп</w:t>
      </w:r>
      <w:r w:rsidR="00E8731D" w:rsidRPr="00995DE0">
        <w:t>и</w:t>
      </w:r>
      <w:r w:rsidR="00E8731D" w:rsidRPr="00995DE0">
        <w:t xml:space="preserve">тер» </w:t>
      </w:r>
      <w:r w:rsidR="00393E65" w:rsidRPr="00995DE0">
        <w:t xml:space="preserve"> составил </w:t>
      </w:r>
      <w:r w:rsidR="009325EC">
        <w:t>79,3</w:t>
      </w:r>
      <w:r w:rsidR="00393E65" w:rsidRPr="00995DE0">
        <w:t xml:space="preserve"> млн.рублей</w:t>
      </w:r>
      <w:r w:rsidR="00A0030A" w:rsidRPr="00995DE0">
        <w:t xml:space="preserve"> (</w:t>
      </w:r>
      <w:r w:rsidR="009325EC">
        <w:t xml:space="preserve"> 125,6</w:t>
      </w:r>
      <w:r w:rsidR="00BA1DC4">
        <w:t xml:space="preserve"> </w:t>
      </w:r>
      <w:r w:rsidR="00393E65" w:rsidRPr="00995DE0">
        <w:t>%  к уровню 201</w:t>
      </w:r>
      <w:r w:rsidR="00E8731D" w:rsidRPr="00995DE0">
        <w:t>1</w:t>
      </w:r>
      <w:r w:rsidR="00A0030A" w:rsidRPr="00995DE0">
        <w:t xml:space="preserve"> года).</w:t>
      </w:r>
      <w:r w:rsidR="00393E65" w:rsidRPr="00995DE0">
        <w:t xml:space="preserve"> </w:t>
      </w:r>
      <w:r w:rsidR="00902237">
        <w:t>На 7,3 %</w:t>
      </w:r>
      <w:r w:rsidR="00BD24D2" w:rsidRPr="00902237">
        <w:t xml:space="preserve"> увеличилось </w:t>
      </w:r>
      <w:r w:rsidR="00393E65" w:rsidRPr="00902237">
        <w:t xml:space="preserve"> прои</w:t>
      </w:r>
      <w:r w:rsidR="00393E65" w:rsidRPr="00902237">
        <w:t>з</w:t>
      </w:r>
      <w:r w:rsidR="00393E65" w:rsidRPr="00902237">
        <w:t xml:space="preserve">водство </w:t>
      </w:r>
      <w:r w:rsidR="00A40A17" w:rsidRPr="00902237">
        <w:t xml:space="preserve">оптических </w:t>
      </w:r>
      <w:r w:rsidR="00BD24D2" w:rsidRPr="00902237">
        <w:t>приборов.</w:t>
      </w:r>
      <w:r w:rsidR="00FE1EF0" w:rsidRPr="00995DE0">
        <w:t xml:space="preserve"> На экспорт отправлено</w:t>
      </w:r>
      <w:r w:rsidR="009325EC">
        <w:t xml:space="preserve"> 16,9</w:t>
      </w:r>
      <w:r w:rsidR="00FE1EF0" w:rsidRPr="00995DE0">
        <w:t xml:space="preserve"> млн.руб. продукции, что с</w:t>
      </w:r>
      <w:r w:rsidR="00FE1EF0" w:rsidRPr="00995DE0">
        <w:t>о</w:t>
      </w:r>
      <w:r w:rsidR="00FE1EF0" w:rsidRPr="00995DE0">
        <w:t xml:space="preserve">ставляет </w:t>
      </w:r>
      <w:r w:rsidR="009325EC">
        <w:t>101,7</w:t>
      </w:r>
      <w:r w:rsidR="001C20F1" w:rsidRPr="00995DE0">
        <w:t xml:space="preserve"> </w:t>
      </w:r>
      <w:r w:rsidR="00101964" w:rsidRPr="00995DE0">
        <w:t>% к уровню</w:t>
      </w:r>
      <w:r w:rsidR="00C01E07">
        <w:t xml:space="preserve"> </w:t>
      </w:r>
      <w:r w:rsidR="00FE1EF0" w:rsidRPr="00995DE0">
        <w:t>прошлого года.</w:t>
      </w:r>
      <w:r w:rsidR="00C53688" w:rsidRPr="00995DE0">
        <w:t xml:space="preserve"> </w:t>
      </w:r>
      <w:r w:rsidR="00393E65" w:rsidRPr="00995DE0">
        <w:t xml:space="preserve">На заводе </w:t>
      </w:r>
      <w:r w:rsidR="00C53688" w:rsidRPr="00995DE0">
        <w:t>выпуска</w:t>
      </w:r>
      <w:r w:rsidR="00F01E76">
        <w:t>ю</w:t>
      </w:r>
      <w:r w:rsidR="00C53688" w:rsidRPr="00995DE0">
        <w:t xml:space="preserve">тся </w:t>
      </w:r>
      <w:r w:rsidR="00F01E76">
        <w:t>приборы</w:t>
      </w:r>
      <w:r w:rsidR="00393E65" w:rsidRPr="00995DE0">
        <w:t xml:space="preserve"> ночного в</w:t>
      </w:r>
      <w:r w:rsidR="00393E65" w:rsidRPr="00995DE0">
        <w:t>и</w:t>
      </w:r>
      <w:r w:rsidR="00393E65" w:rsidRPr="00995DE0">
        <w:t>дения и а</w:t>
      </w:r>
      <w:r w:rsidR="00393E65" w:rsidRPr="00995DE0">
        <w:t>к</w:t>
      </w:r>
      <w:r w:rsidR="00393E65" w:rsidRPr="00995DE0">
        <w:t>сессуар</w:t>
      </w:r>
      <w:r w:rsidR="00F01E76">
        <w:t>ы</w:t>
      </w:r>
      <w:r w:rsidR="00393E65" w:rsidRPr="00995DE0">
        <w:t xml:space="preserve"> к ним.</w:t>
      </w:r>
    </w:p>
    <w:p w:rsidR="00393E65" w:rsidRPr="00995DE0" w:rsidRDefault="00393E65" w:rsidP="00393E65">
      <w:r w:rsidRPr="00995DE0">
        <w:t xml:space="preserve">              </w:t>
      </w:r>
      <w:r w:rsidR="00BD24D2" w:rsidRPr="00995DE0">
        <w:t>В</w:t>
      </w:r>
      <w:r w:rsidRPr="00995DE0">
        <w:t xml:space="preserve"> ФГУ ИК-4</w:t>
      </w:r>
      <w:r w:rsidR="00BD24D2" w:rsidRPr="00995DE0">
        <w:t xml:space="preserve"> з</w:t>
      </w:r>
      <w:r w:rsidRPr="00995DE0">
        <w:t xml:space="preserve">а </w:t>
      </w:r>
      <w:r w:rsidR="00A0030A" w:rsidRPr="00995DE0">
        <w:t xml:space="preserve"> </w:t>
      </w:r>
      <w:r w:rsidRPr="00995DE0">
        <w:t>201</w:t>
      </w:r>
      <w:r w:rsidR="00A765E0" w:rsidRPr="00995DE0">
        <w:t>2</w:t>
      </w:r>
      <w:r w:rsidRPr="00995DE0">
        <w:t xml:space="preserve"> год объем отгруженных товаров</w:t>
      </w:r>
      <w:r w:rsidR="00FF5B58" w:rsidRPr="00995DE0">
        <w:t xml:space="preserve"> </w:t>
      </w:r>
      <w:r w:rsidR="00A0030A" w:rsidRPr="00995DE0">
        <w:t xml:space="preserve">составил </w:t>
      </w:r>
      <w:r w:rsidR="00795AAC">
        <w:t>20,1</w:t>
      </w:r>
      <w:r w:rsidR="00A0030A" w:rsidRPr="00995DE0">
        <w:t xml:space="preserve"> млн.руб.</w:t>
      </w:r>
      <w:r w:rsidR="00BD24D2" w:rsidRPr="00995DE0">
        <w:t xml:space="preserve"> (</w:t>
      </w:r>
      <w:r w:rsidR="00795AAC">
        <w:t>57,9</w:t>
      </w:r>
      <w:r w:rsidR="00101964" w:rsidRPr="00995DE0">
        <w:t xml:space="preserve"> </w:t>
      </w:r>
      <w:r w:rsidR="00BD24D2" w:rsidRPr="00995DE0">
        <w:t>% к 2011 год</w:t>
      </w:r>
      <w:r w:rsidR="00795AAC">
        <w:t>у</w:t>
      </w:r>
      <w:r w:rsidR="00BD24D2" w:rsidRPr="00995DE0">
        <w:t xml:space="preserve">) </w:t>
      </w:r>
      <w:r w:rsidRPr="00995DE0">
        <w:t xml:space="preserve"> </w:t>
      </w:r>
      <w:r w:rsidRPr="00902237">
        <w:t xml:space="preserve">В текущем </w:t>
      </w:r>
      <w:r w:rsidR="002C04DE" w:rsidRPr="00902237">
        <w:t>периоде</w:t>
      </w:r>
      <w:r w:rsidRPr="00902237">
        <w:t xml:space="preserve"> </w:t>
      </w:r>
      <w:r w:rsidR="002C04DE" w:rsidRPr="00902237">
        <w:t xml:space="preserve">наблюдается </w:t>
      </w:r>
      <w:r w:rsidRPr="00902237">
        <w:t xml:space="preserve">рост выпуска </w:t>
      </w:r>
      <w:r w:rsidR="00101964" w:rsidRPr="00902237">
        <w:t>макаронных изделий (1</w:t>
      </w:r>
      <w:r w:rsidR="00902237" w:rsidRPr="00902237">
        <w:t>45,7</w:t>
      </w:r>
      <w:r w:rsidR="00101964" w:rsidRPr="00902237">
        <w:t>%).</w:t>
      </w:r>
      <w:r w:rsidR="00A0030A" w:rsidRPr="00902237">
        <w:t xml:space="preserve"> </w:t>
      </w:r>
      <w:r w:rsidR="00BD24D2" w:rsidRPr="00902237">
        <w:t xml:space="preserve">Снизился выпуск мебели ( </w:t>
      </w:r>
      <w:r w:rsidR="00902237" w:rsidRPr="00902237">
        <w:t>56,8</w:t>
      </w:r>
      <w:r w:rsidR="00BD24D2" w:rsidRPr="00902237">
        <w:t>)</w:t>
      </w:r>
      <w:r w:rsidR="00101964" w:rsidRPr="00902237">
        <w:t xml:space="preserve">, </w:t>
      </w:r>
      <w:r w:rsidR="00BD24D2" w:rsidRPr="00902237">
        <w:t>хлеба</w:t>
      </w:r>
      <w:r w:rsidR="00101964" w:rsidRPr="00902237">
        <w:t xml:space="preserve"> и хлебобулочных изделий </w:t>
      </w:r>
      <w:r w:rsidR="00BD24D2" w:rsidRPr="00902237">
        <w:t xml:space="preserve"> (</w:t>
      </w:r>
      <w:r w:rsidR="00101964" w:rsidRPr="00902237">
        <w:t>8</w:t>
      </w:r>
      <w:r w:rsidR="00902237" w:rsidRPr="00902237">
        <w:t>1,5%</w:t>
      </w:r>
      <w:r w:rsidR="00BD24D2" w:rsidRPr="00902237">
        <w:t>)</w:t>
      </w:r>
      <w:r w:rsidR="00902237" w:rsidRPr="00902237">
        <w:t xml:space="preserve"> и м</w:t>
      </w:r>
      <w:r w:rsidR="00902237" w:rsidRPr="00902237">
        <w:t>у</w:t>
      </w:r>
      <w:r w:rsidR="00902237" w:rsidRPr="00902237">
        <w:t>ки ( 79,8 %)</w:t>
      </w:r>
      <w:r w:rsidR="00101964" w:rsidRPr="00902237">
        <w:t>.</w:t>
      </w:r>
      <w:r w:rsidR="00101964" w:rsidRPr="00995DE0">
        <w:t xml:space="preserve"> </w:t>
      </w:r>
    </w:p>
    <w:p w:rsidR="00A514B9" w:rsidRPr="00995DE0" w:rsidRDefault="00A514B9" w:rsidP="00A514B9">
      <w:r w:rsidRPr="00995DE0">
        <w:rPr>
          <w:sz w:val="28"/>
          <w:szCs w:val="28"/>
        </w:rPr>
        <w:t xml:space="preserve">              </w:t>
      </w:r>
      <w:r w:rsidRPr="00995DE0">
        <w:t>В</w:t>
      </w:r>
      <w:r w:rsidR="00FF56B3">
        <w:t xml:space="preserve"> ООО</w:t>
      </w:r>
      <w:r w:rsidRPr="00995DE0">
        <w:t>«Валдайлесстро</w:t>
      </w:r>
      <w:r w:rsidR="00FF56B3">
        <w:t>й</w:t>
      </w:r>
      <w:r w:rsidRPr="00995DE0">
        <w:t xml:space="preserve">»  </w:t>
      </w:r>
      <w:r w:rsidR="00BA1DC4">
        <w:t>осуществляется</w:t>
      </w:r>
      <w:r w:rsidRPr="00995DE0">
        <w:t xml:space="preserve"> производство </w:t>
      </w:r>
      <w:r w:rsidR="003542AE" w:rsidRPr="00995DE0">
        <w:t xml:space="preserve">таких </w:t>
      </w:r>
      <w:r w:rsidRPr="00995DE0">
        <w:t>пиломатери</w:t>
      </w:r>
      <w:r w:rsidRPr="00995DE0">
        <w:t>а</w:t>
      </w:r>
      <w:r w:rsidRPr="00995DE0">
        <w:t>лов</w:t>
      </w:r>
      <w:r w:rsidR="003542AE" w:rsidRPr="00995DE0">
        <w:t xml:space="preserve"> как </w:t>
      </w:r>
      <w:r w:rsidR="00845538">
        <w:t xml:space="preserve">доска </w:t>
      </w:r>
      <w:r w:rsidR="003542AE" w:rsidRPr="00995DE0">
        <w:t>вагон</w:t>
      </w:r>
      <w:r w:rsidR="00845538">
        <w:t>н</w:t>
      </w:r>
      <w:r w:rsidR="003542AE" w:rsidRPr="00995DE0">
        <w:t>а</w:t>
      </w:r>
      <w:r w:rsidR="00845538">
        <w:t>я</w:t>
      </w:r>
      <w:r w:rsidR="003542AE" w:rsidRPr="00995DE0">
        <w:t>, доска половая. В</w:t>
      </w:r>
      <w:r w:rsidRPr="00995DE0">
        <w:t>едется заготовка древесины,</w:t>
      </w:r>
      <w:r w:rsidR="0014005F" w:rsidRPr="00995DE0">
        <w:t xml:space="preserve"> работает цех склеив</w:t>
      </w:r>
      <w:r w:rsidR="0014005F" w:rsidRPr="00995DE0">
        <w:t>а</w:t>
      </w:r>
      <w:r w:rsidR="0014005F" w:rsidRPr="00995DE0">
        <w:t xml:space="preserve">ния, </w:t>
      </w:r>
      <w:r w:rsidRPr="00995DE0">
        <w:t xml:space="preserve"> цех по выпуску</w:t>
      </w:r>
      <w:r w:rsidR="003542AE" w:rsidRPr="00995DE0">
        <w:t xml:space="preserve"> домов и бань из </w:t>
      </w:r>
      <w:r w:rsidR="0014005F" w:rsidRPr="00995DE0">
        <w:t>профилированного бруса.</w:t>
      </w:r>
      <w:r w:rsidRPr="00995DE0">
        <w:t xml:space="preserve"> Продукция востребов</w:t>
      </w:r>
      <w:r w:rsidRPr="00995DE0">
        <w:t>а</w:t>
      </w:r>
      <w:r w:rsidRPr="00995DE0">
        <w:t>на на внутреннем рынке и за пределами Российской Федерации. Экспорт пиломатери</w:t>
      </w:r>
      <w:r w:rsidRPr="00995DE0">
        <w:t>а</w:t>
      </w:r>
      <w:r w:rsidRPr="00995DE0">
        <w:t xml:space="preserve">лов в Норвегию составил </w:t>
      </w:r>
      <w:r w:rsidR="00C01E07">
        <w:t xml:space="preserve">за </w:t>
      </w:r>
      <w:r w:rsidR="00795AAC">
        <w:t>2012 год 1,2</w:t>
      </w:r>
      <w:r w:rsidRPr="00995DE0">
        <w:t xml:space="preserve"> млн.руб.</w:t>
      </w:r>
    </w:p>
    <w:p w:rsidR="00A514B9" w:rsidRPr="00995DE0" w:rsidRDefault="00A514B9" w:rsidP="000A543C">
      <w:pPr>
        <w:jc w:val="center"/>
      </w:pPr>
      <w:r w:rsidRPr="00995DE0">
        <w:tab/>
      </w:r>
      <w:r w:rsidR="00010DA9" w:rsidRPr="00995DE0">
        <w:tab/>
      </w:r>
    </w:p>
    <w:p w:rsidR="000A543C" w:rsidRPr="00995DE0" w:rsidRDefault="004B234B" w:rsidP="000A543C">
      <w:pPr>
        <w:jc w:val="center"/>
        <w:rPr>
          <w:b/>
        </w:rPr>
      </w:pPr>
      <w:r w:rsidRPr="00995DE0">
        <w:t xml:space="preserve"> </w:t>
      </w:r>
      <w:r w:rsidR="000A543C" w:rsidRPr="00995DE0">
        <w:rPr>
          <w:b/>
        </w:rPr>
        <w:t>Производство основных видов продукции за 201</w:t>
      </w:r>
      <w:r w:rsidR="00D62368" w:rsidRPr="00995DE0">
        <w:rPr>
          <w:b/>
        </w:rPr>
        <w:t>2</w:t>
      </w:r>
      <w:r w:rsidR="00E5666E">
        <w:rPr>
          <w:b/>
        </w:rPr>
        <w:t xml:space="preserve"> год</w:t>
      </w:r>
      <w:r w:rsidR="000A543C" w:rsidRPr="00995DE0">
        <w:rPr>
          <w:b/>
        </w:rPr>
        <w:t>.</w:t>
      </w:r>
    </w:p>
    <w:p w:rsidR="000A543C" w:rsidRPr="00995DE0" w:rsidRDefault="000A543C" w:rsidP="000A543C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71"/>
        <w:gridCol w:w="1340"/>
        <w:gridCol w:w="1097"/>
        <w:gridCol w:w="1097"/>
        <w:gridCol w:w="1550"/>
      </w:tblGrid>
      <w:tr w:rsidR="000A543C" w:rsidRPr="00995DE0" w:rsidTr="00F61312">
        <w:tc>
          <w:tcPr>
            <w:tcW w:w="0" w:type="auto"/>
            <w:vMerge w:val="restart"/>
          </w:tcPr>
          <w:p w:rsidR="000A543C" w:rsidRPr="00995DE0" w:rsidRDefault="000A543C" w:rsidP="00F61312">
            <w:r w:rsidRPr="00995DE0">
              <w:t>Наименование предпр</w:t>
            </w:r>
            <w:r w:rsidRPr="00995DE0">
              <w:t>и</w:t>
            </w:r>
            <w:r w:rsidRPr="00995DE0">
              <w:t>ятия</w:t>
            </w:r>
          </w:p>
        </w:tc>
        <w:tc>
          <w:tcPr>
            <w:tcW w:w="0" w:type="auto"/>
          </w:tcPr>
          <w:p w:rsidR="000A543C" w:rsidRPr="00995DE0" w:rsidRDefault="000A543C" w:rsidP="00F61312">
            <w:r w:rsidRPr="00995DE0">
              <w:t>Ед.изм.</w:t>
            </w:r>
          </w:p>
        </w:tc>
        <w:tc>
          <w:tcPr>
            <w:tcW w:w="3744" w:type="dxa"/>
            <w:gridSpan w:val="3"/>
          </w:tcPr>
          <w:p w:rsidR="00671D23" w:rsidRPr="00995DE0" w:rsidRDefault="000A543C" w:rsidP="00F61312">
            <w:r w:rsidRPr="00995DE0">
              <w:t xml:space="preserve">Произведено в натуральном </w:t>
            </w:r>
          </w:p>
          <w:p w:rsidR="000A543C" w:rsidRPr="00995DE0" w:rsidRDefault="000A543C" w:rsidP="00671D23">
            <w:pPr>
              <w:jc w:val="center"/>
            </w:pPr>
            <w:r w:rsidRPr="00995DE0">
              <w:t>в</w:t>
            </w:r>
            <w:r w:rsidRPr="00995DE0">
              <w:t>ы</w:t>
            </w:r>
            <w:r w:rsidRPr="00995DE0">
              <w:t>ражении</w:t>
            </w:r>
          </w:p>
        </w:tc>
      </w:tr>
      <w:tr w:rsidR="00D63752" w:rsidRPr="00995DE0" w:rsidTr="00F61312">
        <w:tc>
          <w:tcPr>
            <w:tcW w:w="0" w:type="auto"/>
            <w:vMerge/>
          </w:tcPr>
          <w:p w:rsidR="00D63752" w:rsidRPr="00995DE0" w:rsidRDefault="00D63752" w:rsidP="00F61312"/>
        </w:tc>
        <w:tc>
          <w:tcPr>
            <w:tcW w:w="0" w:type="auto"/>
          </w:tcPr>
          <w:p w:rsidR="00D63752" w:rsidRPr="00995DE0" w:rsidRDefault="00D63752" w:rsidP="00F61312"/>
        </w:tc>
        <w:tc>
          <w:tcPr>
            <w:tcW w:w="0" w:type="auto"/>
          </w:tcPr>
          <w:p w:rsidR="00D63752" w:rsidRPr="00995DE0" w:rsidRDefault="00D63752" w:rsidP="00F61312">
            <w:r w:rsidRPr="00995DE0">
              <w:t>2012 год</w:t>
            </w:r>
          </w:p>
        </w:tc>
        <w:tc>
          <w:tcPr>
            <w:tcW w:w="0" w:type="auto"/>
          </w:tcPr>
          <w:p w:rsidR="00D63752" w:rsidRPr="00995DE0" w:rsidRDefault="00D63752" w:rsidP="000C5F54">
            <w:r w:rsidRPr="00995DE0">
              <w:t>2011 год</w:t>
            </w:r>
          </w:p>
        </w:tc>
        <w:tc>
          <w:tcPr>
            <w:tcW w:w="1550" w:type="dxa"/>
          </w:tcPr>
          <w:p w:rsidR="00D63752" w:rsidRPr="00995DE0" w:rsidRDefault="00D63752" w:rsidP="00F61312">
            <w:smartTag w:uri="urn:schemas-microsoft-com:office:smarttags" w:element="metricconverter">
              <w:smartTagPr>
                <w:attr w:name="ProductID" w:val="2012 г"/>
              </w:smartTagPr>
              <w:r w:rsidRPr="00995DE0">
                <w:t>201</w:t>
              </w:r>
              <w:r w:rsidR="00D62368" w:rsidRPr="00995DE0">
                <w:t>2</w:t>
              </w:r>
              <w:r w:rsidRPr="00995DE0">
                <w:t xml:space="preserve"> г</w:t>
              </w:r>
            </w:smartTag>
            <w:r w:rsidRPr="00995DE0">
              <w:t xml:space="preserve">.в % </w:t>
            </w:r>
          </w:p>
          <w:p w:rsidR="00D63752" w:rsidRPr="00995DE0" w:rsidRDefault="00D63752" w:rsidP="00F61312">
            <w:r w:rsidRPr="00995DE0">
              <w:t xml:space="preserve">к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95DE0">
                <w:t>201</w:t>
              </w:r>
              <w:r w:rsidR="00D62368" w:rsidRPr="00995DE0">
                <w:t>1</w:t>
              </w:r>
              <w:r w:rsidRPr="00995DE0">
                <w:t xml:space="preserve"> г</w:t>
              </w:r>
            </w:smartTag>
            <w:r w:rsidRPr="00995DE0">
              <w:t>.</w:t>
            </w:r>
          </w:p>
        </w:tc>
      </w:tr>
      <w:tr w:rsidR="00D63752" w:rsidRPr="00995DE0" w:rsidTr="00F61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671D23" w:rsidP="00F61312">
            <w:pPr>
              <w:rPr>
                <w:u w:val="single"/>
              </w:rPr>
            </w:pPr>
            <w:r w:rsidRPr="00995DE0">
              <w:rPr>
                <w:u w:val="single"/>
              </w:rPr>
              <w:t>ФГУ ИК -</w:t>
            </w:r>
            <w:r w:rsidR="00D63752" w:rsidRPr="00995DE0">
              <w:rPr>
                <w:u w:val="single"/>
              </w:rPr>
              <w:t>4</w:t>
            </w:r>
          </w:p>
          <w:p w:rsidR="00D63752" w:rsidRPr="00995DE0" w:rsidRDefault="00D63752" w:rsidP="00F61312">
            <w:pPr>
              <w:rPr>
                <w:u w:val="single"/>
              </w:rPr>
            </w:pPr>
            <w:r w:rsidRPr="00995DE0">
              <w:t>-дверные оконные 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/>
          <w:p w:rsidR="00D63752" w:rsidRPr="00995DE0" w:rsidRDefault="00D63752" w:rsidP="00F61312">
            <w:r w:rsidRPr="00995DE0">
              <w:t>тыс.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4B7D" w:rsidRDefault="006B4B7D" w:rsidP="006B4B7D">
            <w:pPr>
              <w:jc w:val="center"/>
            </w:pPr>
          </w:p>
          <w:p w:rsidR="004F0D7C" w:rsidRPr="00995DE0" w:rsidRDefault="004F0D7C" w:rsidP="006B4B7D">
            <w:pPr>
              <w:jc w:val="center"/>
            </w:pPr>
            <w:r>
              <w:t>0,303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7C" w:rsidRDefault="004F0D7C" w:rsidP="006B4B7D">
            <w:pPr>
              <w:jc w:val="center"/>
            </w:pPr>
          </w:p>
          <w:p w:rsidR="00D63752" w:rsidRPr="00995DE0" w:rsidRDefault="004F0D7C" w:rsidP="006B4B7D">
            <w:pPr>
              <w:jc w:val="center"/>
            </w:pPr>
            <w:r>
              <w:t>0,472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0D7C" w:rsidRDefault="004F0D7C" w:rsidP="006B4B7D">
            <w:pPr>
              <w:jc w:val="center"/>
            </w:pPr>
          </w:p>
          <w:p w:rsidR="006B4B7D" w:rsidRPr="00995DE0" w:rsidRDefault="004F0D7C" w:rsidP="006B4B7D">
            <w:pPr>
              <w:jc w:val="center"/>
            </w:pPr>
            <w:r>
              <w:t>64,2</w:t>
            </w:r>
          </w:p>
        </w:tc>
      </w:tr>
      <w:tr w:rsidR="00D63752" w:rsidRPr="00995DE0" w:rsidTr="00F613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-мебель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тыс.руб.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4F0D7C" w:rsidP="006B4B7D">
            <w:pPr>
              <w:jc w:val="center"/>
            </w:pPr>
            <w:r>
              <w:t>847,2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4F0D7C" w:rsidP="006B4B7D">
            <w:pPr>
              <w:jc w:val="center"/>
            </w:pPr>
            <w:r>
              <w:t>1491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4F0D7C" w:rsidP="006B4B7D">
            <w:pPr>
              <w:jc w:val="center"/>
            </w:pPr>
            <w:r>
              <w:t>56,8</w:t>
            </w:r>
          </w:p>
        </w:tc>
      </w:tr>
      <w:tr w:rsidR="00D63752" w:rsidRPr="00995DE0" w:rsidTr="00F613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В т.ч. стул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штук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4F0D7C" w:rsidP="006B4B7D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4F0D7C" w:rsidP="006B4B7D">
            <w:pPr>
              <w:jc w:val="center"/>
            </w:pPr>
            <w:r>
              <w:t>42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4F0D7C" w:rsidP="006B4B7D">
            <w:pPr>
              <w:jc w:val="center"/>
            </w:pPr>
            <w:r>
              <w:t>190,5</w:t>
            </w:r>
          </w:p>
        </w:tc>
      </w:tr>
      <w:tr w:rsidR="00D63752" w:rsidRPr="00995DE0" w:rsidTr="00F613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 xml:space="preserve">          кровать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штук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23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73,9</w:t>
            </w:r>
          </w:p>
        </w:tc>
      </w:tr>
      <w:tr w:rsidR="00D63752" w:rsidRPr="00995DE0" w:rsidTr="00F613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 xml:space="preserve">          шкаф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штук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23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17,4</w:t>
            </w:r>
          </w:p>
        </w:tc>
      </w:tr>
      <w:tr w:rsidR="00D63752" w:rsidRPr="00995DE0" w:rsidTr="00F613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-хлеб и хлебобулочные изделия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тонн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172,9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212,04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81,5</w:t>
            </w:r>
          </w:p>
        </w:tc>
      </w:tr>
      <w:tr w:rsidR="00D63752" w:rsidRPr="00995DE0" w:rsidTr="00F613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-макаронные изделия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тонн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37,8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25,95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145,7</w:t>
            </w:r>
          </w:p>
        </w:tc>
      </w:tr>
      <w:tr w:rsidR="00D63752" w:rsidRPr="00995DE0" w:rsidTr="00F6131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-мука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тонн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203,9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255,4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2" w:rsidRPr="00995DE0" w:rsidRDefault="00E073C1" w:rsidP="006B4B7D">
            <w:pPr>
              <w:jc w:val="center"/>
            </w:pPr>
            <w:r>
              <w:t>79,8</w:t>
            </w:r>
          </w:p>
        </w:tc>
      </w:tr>
      <w:tr w:rsidR="00D63752" w:rsidRPr="00995DE0" w:rsidTr="00F613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pPr>
              <w:rPr>
                <w:u w:val="single"/>
              </w:rPr>
            </w:pPr>
            <w:r w:rsidRPr="00995DE0">
              <w:rPr>
                <w:u w:val="single"/>
              </w:rPr>
              <w:t>ООО</w:t>
            </w:r>
            <w:r w:rsidR="00671D23" w:rsidRPr="00995DE0">
              <w:rPr>
                <w:u w:val="single"/>
              </w:rPr>
              <w:t xml:space="preserve"> «Завод </w:t>
            </w:r>
            <w:r w:rsidRPr="00995DE0">
              <w:rPr>
                <w:u w:val="single"/>
              </w:rPr>
              <w:t xml:space="preserve"> </w:t>
            </w:r>
            <w:r w:rsidR="00671D23" w:rsidRPr="00995DE0">
              <w:rPr>
                <w:u w:val="single"/>
              </w:rPr>
              <w:t>«</w:t>
            </w:r>
            <w:r w:rsidRPr="00995DE0">
              <w:rPr>
                <w:u w:val="single"/>
              </w:rPr>
              <w:t>Юпитер»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6B4B7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6B4B7D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6B4B7D">
            <w:pPr>
              <w:jc w:val="center"/>
            </w:pPr>
          </w:p>
        </w:tc>
      </w:tr>
      <w:tr w:rsidR="00D63752" w:rsidRPr="00995DE0" w:rsidTr="00F6131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- оптические приборы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D63752" w:rsidP="00F61312">
            <w:r w:rsidRPr="00995DE0">
              <w:t>тыс.руб.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4F0D7C" w:rsidP="006B4B7D">
            <w:pPr>
              <w:jc w:val="center"/>
            </w:pPr>
            <w:r>
              <w:t>50964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4F0D7C" w:rsidP="006B4B7D">
            <w:pPr>
              <w:jc w:val="center"/>
            </w:pPr>
            <w:r>
              <w:t>47488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752" w:rsidRPr="00995DE0" w:rsidRDefault="004F0D7C" w:rsidP="006B4B7D">
            <w:pPr>
              <w:jc w:val="center"/>
            </w:pPr>
            <w:r>
              <w:t>107,3</w:t>
            </w:r>
          </w:p>
        </w:tc>
      </w:tr>
      <w:tr w:rsidR="00D63752" w:rsidRPr="00995DE0" w:rsidTr="00F61312">
        <w:tc>
          <w:tcPr>
            <w:tcW w:w="0" w:type="auto"/>
            <w:tcBorders>
              <w:top w:val="single" w:sz="4" w:space="0" w:color="auto"/>
            </w:tcBorders>
          </w:tcPr>
          <w:p w:rsidR="00D63752" w:rsidRPr="00995DE0" w:rsidRDefault="00671D23" w:rsidP="00F61312">
            <w:pPr>
              <w:rPr>
                <w:u w:val="single"/>
              </w:rPr>
            </w:pPr>
            <w:r w:rsidRPr="00995DE0">
              <w:rPr>
                <w:u w:val="single"/>
              </w:rPr>
              <w:t>ООО «</w:t>
            </w:r>
            <w:r w:rsidR="00D63752" w:rsidRPr="00995DE0">
              <w:rPr>
                <w:u w:val="single"/>
              </w:rPr>
              <w:t>Валдайлесстрой</w:t>
            </w:r>
            <w:r w:rsidRPr="00995DE0">
              <w:rPr>
                <w:u w:val="single"/>
              </w:rPr>
              <w:t>»</w:t>
            </w:r>
          </w:p>
          <w:p w:rsidR="00D63752" w:rsidRDefault="00D63752" w:rsidP="00F61312">
            <w:r w:rsidRPr="00995DE0">
              <w:t>-Пиломатериалы</w:t>
            </w:r>
          </w:p>
          <w:p w:rsidR="004F0D7C" w:rsidRPr="00995DE0" w:rsidRDefault="004F0D7C" w:rsidP="00F61312">
            <w:r>
              <w:t>-Деловая древесина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3752" w:rsidRPr="00995DE0" w:rsidRDefault="00D63752" w:rsidP="00F61312"/>
          <w:p w:rsidR="00D63752" w:rsidRDefault="00D63752" w:rsidP="00F61312">
            <w:r w:rsidRPr="00995DE0">
              <w:t>тыс.куб.м</w:t>
            </w:r>
            <w:r w:rsidR="004F0D7C">
              <w:t>.</w:t>
            </w:r>
          </w:p>
          <w:p w:rsidR="004F0D7C" w:rsidRPr="00995DE0" w:rsidRDefault="004F0D7C" w:rsidP="00F61312">
            <w:r>
              <w:t>тыс. куб.м.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3752" w:rsidRDefault="00D63752" w:rsidP="006B4B7D">
            <w:pPr>
              <w:jc w:val="center"/>
            </w:pPr>
          </w:p>
          <w:p w:rsidR="004F0D7C" w:rsidRDefault="004F0D7C" w:rsidP="006B4B7D">
            <w:pPr>
              <w:jc w:val="center"/>
            </w:pPr>
            <w:r>
              <w:t>6,77</w:t>
            </w:r>
          </w:p>
          <w:p w:rsidR="004F0D7C" w:rsidRPr="00995DE0" w:rsidRDefault="004F0D7C" w:rsidP="006B4B7D">
            <w:pPr>
              <w:jc w:val="center"/>
            </w:pPr>
            <w:r>
              <w:t>4,34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0D7C" w:rsidRDefault="004F0D7C" w:rsidP="006B4B7D">
            <w:pPr>
              <w:jc w:val="center"/>
            </w:pPr>
          </w:p>
          <w:p w:rsidR="00D63752" w:rsidRDefault="004F0D7C" w:rsidP="006B4B7D">
            <w:pPr>
              <w:jc w:val="center"/>
            </w:pPr>
            <w:r>
              <w:t>6,3</w:t>
            </w:r>
          </w:p>
          <w:p w:rsidR="004F0D7C" w:rsidRPr="00995DE0" w:rsidRDefault="004F0D7C" w:rsidP="006B4B7D">
            <w:pPr>
              <w:jc w:val="center"/>
            </w:pPr>
            <w:r>
              <w:t>-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6B4B7D" w:rsidRDefault="006B4B7D" w:rsidP="006B4B7D">
            <w:pPr>
              <w:jc w:val="center"/>
            </w:pPr>
          </w:p>
          <w:p w:rsidR="004F0D7C" w:rsidRDefault="004F0D7C" w:rsidP="006B4B7D">
            <w:pPr>
              <w:jc w:val="center"/>
            </w:pPr>
            <w:r>
              <w:t>107,5</w:t>
            </w:r>
          </w:p>
          <w:p w:rsidR="004F0D7C" w:rsidRPr="00995DE0" w:rsidRDefault="004F0D7C" w:rsidP="006B4B7D">
            <w:pPr>
              <w:jc w:val="center"/>
            </w:pPr>
            <w:r>
              <w:t>-</w:t>
            </w:r>
          </w:p>
        </w:tc>
      </w:tr>
    </w:tbl>
    <w:p w:rsidR="005E6B45" w:rsidRPr="00995DE0" w:rsidRDefault="000A543C" w:rsidP="007A6437">
      <w:r w:rsidRPr="00995DE0">
        <w:rPr>
          <w:b/>
        </w:rPr>
        <w:t xml:space="preserve">   </w:t>
      </w:r>
      <w:r w:rsidRPr="00995DE0">
        <w:tab/>
      </w:r>
      <w:r w:rsidR="00D00450" w:rsidRPr="00044E9C">
        <w:t xml:space="preserve">В сфере промышленного производства </w:t>
      </w:r>
      <w:r w:rsidR="00F56BD8" w:rsidRPr="00044E9C">
        <w:t xml:space="preserve">по малым </w:t>
      </w:r>
      <w:r w:rsidR="00383B74" w:rsidRPr="00044E9C">
        <w:t xml:space="preserve"> предприяти</w:t>
      </w:r>
      <w:r w:rsidR="00F56BD8" w:rsidRPr="00044E9C">
        <w:t>ям</w:t>
      </w:r>
      <w:r w:rsidR="00383B74" w:rsidRPr="00044E9C">
        <w:t xml:space="preserve"> </w:t>
      </w:r>
      <w:r w:rsidR="00F56BD8" w:rsidRPr="00044E9C">
        <w:t>реализовано пр</w:t>
      </w:r>
      <w:r w:rsidR="00F56BD8" w:rsidRPr="00044E9C">
        <w:t>о</w:t>
      </w:r>
      <w:r w:rsidR="00F56BD8" w:rsidRPr="00044E9C">
        <w:t xml:space="preserve">дукции на сумму </w:t>
      </w:r>
      <w:r w:rsidR="00461C2C">
        <w:t>40</w:t>
      </w:r>
      <w:r w:rsidR="00624550" w:rsidRPr="00044E9C">
        <w:t>1</w:t>
      </w:r>
      <w:r w:rsidR="00461C2C">
        <w:t>,6 млн.</w:t>
      </w:r>
      <w:r w:rsidR="00F56BD8" w:rsidRPr="00044E9C">
        <w:t>руб. (</w:t>
      </w:r>
      <w:r w:rsidR="00044E9C">
        <w:t>1</w:t>
      </w:r>
      <w:r w:rsidR="00461C2C">
        <w:t>81,1</w:t>
      </w:r>
      <w:r w:rsidR="00F56BD8" w:rsidRPr="00044E9C">
        <w:t xml:space="preserve"> % к уровню прошлого г</w:t>
      </w:r>
      <w:r w:rsidR="00F56BD8" w:rsidRPr="00044E9C">
        <w:t>о</w:t>
      </w:r>
      <w:r w:rsidR="00F56BD8" w:rsidRPr="00044E9C">
        <w:t>да)</w:t>
      </w:r>
      <w:r w:rsidR="00383B74" w:rsidRPr="00044E9C">
        <w:t>.</w:t>
      </w:r>
      <w:r w:rsidR="00383B74" w:rsidRPr="00995DE0">
        <w:t xml:space="preserve"> </w:t>
      </w:r>
    </w:p>
    <w:p w:rsidR="00624550" w:rsidRPr="00995DE0" w:rsidRDefault="005E6B45" w:rsidP="004B234B">
      <w:pPr>
        <w:jc w:val="both"/>
      </w:pPr>
      <w:r w:rsidRPr="00995DE0">
        <w:tab/>
      </w:r>
      <w:r w:rsidR="00383B74" w:rsidRPr="00995DE0">
        <w:t>ООО «Валдайски</w:t>
      </w:r>
      <w:r w:rsidR="00624550" w:rsidRPr="00995DE0">
        <w:t>й</w:t>
      </w:r>
      <w:r w:rsidR="00383B74" w:rsidRPr="00995DE0">
        <w:t xml:space="preserve"> </w:t>
      </w:r>
      <w:r w:rsidR="00624550" w:rsidRPr="00995DE0">
        <w:t xml:space="preserve">механический </w:t>
      </w:r>
      <w:r w:rsidR="00383B74" w:rsidRPr="00995DE0">
        <w:t>завод» реализова</w:t>
      </w:r>
      <w:r w:rsidR="00624550" w:rsidRPr="00995DE0">
        <w:t>л</w:t>
      </w:r>
      <w:r w:rsidR="00383B74" w:rsidRPr="00995DE0">
        <w:t xml:space="preserve">  продукци</w:t>
      </w:r>
      <w:r w:rsidR="00624550" w:rsidRPr="00995DE0">
        <w:t>ю</w:t>
      </w:r>
      <w:r w:rsidR="00383B74" w:rsidRPr="00995DE0">
        <w:t xml:space="preserve"> </w:t>
      </w:r>
      <w:r w:rsidR="00C23D4D" w:rsidRPr="00461C2C">
        <w:t xml:space="preserve">за </w:t>
      </w:r>
      <w:r w:rsidR="00383B74" w:rsidRPr="00995DE0">
        <w:t>201</w:t>
      </w:r>
      <w:r w:rsidR="00F006B6" w:rsidRPr="00995DE0">
        <w:t>2</w:t>
      </w:r>
      <w:r w:rsidR="00383B74" w:rsidRPr="00995DE0">
        <w:t xml:space="preserve"> </w:t>
      </w:r>
      <w:r w:rsidR="00624550" w:rsidRPr="00995DE0">
        <w:t>г</w:t>
      </w:r>
      <w:r w:rsidR="00383B74" w:rsidRPr="00995DE0">
        <w:t xml:space="preserve">од </w:t>
      </w:r>
      <w:r w:rsidR="00383B74" w:rsidRPr="0032410C">
        <w:t xml:space="preserve">на </w:t>
      </w:r>
      <w:r w:rsidR="0032410C">
        <w:t xml:space="preserve">сумму </w:t>
      </w:r>
      <w:r w:rsidR="00892680">
        <w:t>254,4</w:t>
      </w:r>
      <w:r w:rsidR="0032410C">
        <w:t xml:space="preserve"> млн.</w:t>
      </w:r>
      <w:r w:rsidR="00383B74" w:rsidRPr="0032410C">
        <w:t>руб.</w:t>
      </w:r>
      <w:r w:rsidR="00CA7D0F" w:rsidRPr="00995DE0">
        <w:tab/>
      </w:r>
      <w:r w:rsidR="00624550" w:rsidRPr="00995DE0">
        <w:tab/>
      </w:r>
    </w:p>
    <w:p w:rsidR="0091521D" w:rsidRPr="00995DE0" w:rsidRDefault="00624550" w:rsidP="004B234B">
      <w:pPr>
        <w:jc w:val="both"/>
      </w:pPr>
      <w:r w:rsidRPr="00995DE0">
        <w:tab/>
      </w:r>
      <w:r w:rsidR="00CA7D0F" w:rsidRPr="00995DE0">
        <w:t xml:space="preserve">ЗАО «Валдай»  произвело пищевой продукции на сумму </w:t>
      </w:r>
      <w:r w:rsidR="0032410C">
        <w:t>1</w:t>
      </w:r>
      <w:r w:rsidR="00384605">
        <w:t>4,</w:t>
      </w:r>
      <w:r w:rsidR="00892680">
        <w:t>8</w:t>
      </w:r>
      <w:r w:rsidR="00CA7D0F" w:rsidRPr="00995DE0">
        <w:t xml:space="preserve"> млн.руб.</w:t>
      </w:r>
      <w:r w:rsidR="00B34EDA" w:rsidRPr="00995DE0">
        <w:t>(</w:t>
      </w:r>
      <w:r w:rsidR="00384605">
        <w:t xml:space="preserve"> 100,9 </w:t>
      </w:r>
      <w:r w:rsidR="00B34EDA" w:rsidRPr="00995DE0">
        <w:t>%).</w:t>
      </w:r>
      <w:r w:rsidR="00CA7D0F" w:rsidRPr="00995DE0">
        <w:t xml:space="preserve"> Выпущено </w:t>
      </w:r>
      <w:r w:rsidR="00667676" w:rsidRPr="00667676">
        <w:t>11506</w:t>
      </w:r>
      <w:r w:rsidR="00CA7D0F" w:rsidRPr="00667676">
        <w:t xml:space="preserve"> тыс.условных банок </w:t>
      </w:r>
      <w:r w:rsidR="00597FF7" w:rsidRPr="00667676">
        <w:t xml:space="preserve">35 видов </w:t>
      </w:r>
      <w:r w:rsidR="00CA7D0F" w:rsidRPr="00667676">
        <w:t>овощных консервов.</w:t>
      </w:r>
      <w:r w:rsidR="00E52C73" w:rsidRPr="00995DE0">
        <w:t xml:space="preserve"> </w:t>
      </w:r>
      <w:r w:rsidR="0091521D" w:rsidRPr="00995DE0">
        <w:t>П</w:t>
      </w:r>
      <w:r w:rsidR="00E52C73" w:rsidRPr="00995DE0">
        <w:t>родукция предпр</w:t>
      </w:r>
      <w:r w:rsidR="00E52C73" w:rsidRPr="00995DE0">
        <w:t>и</w:t>
      </w:r>
      <w:r w:rsidR="00E52C73" w:rsidRPr="00995DE0">
        <w:t>ятия пол</w:t>
      </w:r>
      <w:r w:rsidR="00E52C73" w:rsidRPr="00995DE0">
        <w:t>ь</w:t>
      </w:r>
      <w:r w:rsidR="00E52C73" w:rsidRPr="00995DE0">
        <w:t>зуется спросом и реализуется в таких  сетевых магазинах как «Дикси», «Ашан», «Икея».</w:t>
      </w:r>
    </w:p>
    <w:p w:rsidR="00671D23" w:rsidRDefault="00E52C73" w:rsidP="004B234B">
      <w:pPr>
        <w:jc w:val="both"/>
      </w:pPr>
      <w:r w:rsidRPr="00995DE0">
        <w:tab/>
      </w:r>
      <w:r w:rsidR="00212486" w:rsidRPr="00995DE0">
        <w:t xml:space="preserve">Снижены </w:t>
      </w:r>
      <w:r w:rsidR="00671D23" w:rsidRPr="00995DE0">
        <w:t xml:space="preserve"> объемы выпуска и отгрузки в </w:t>
      </w:r>
      <w:r w:rsidR="00212486" w:rsidRPr="00995DE0">
        <w:t>ООО «Валдайнеруд»</w:t>
      </w:r>
      <w:r w:rsidR="0032410C">
        <w:t>( 8</w:t>
      </w:r>
      <w:r w:rsidR="00384605">
        <w:t>1,5</w:t>
      </w:r>
      <w:r w:rsidR="0032410C">
        <w:t xml:space="preserve">%) </w:t>
      </w:r>
      <w:r w:rsidR="00212486" w:rsidRPr="00995DE0">
        <w:t xml:space="preserve"> и МУП «Валдайская типография»</w:t>
      </w:r>
      <w:r w:rsidR="0032410C">
        <w:t xml:space="preserve"> (7</w:t>
      </w:r>
      <w:r w:rsidR="00384605">
        <w:t>9,3</w:t>
      </w:r>
      <w:r w:rsidR="0032410C">
        <w:t xml:space="preserve"> %) </w:t>
      </w:r>
      <w:r w:rsidR="00212486" w:rsidRPr="00995DE0">
        <w:t>.</w:t>
      </w:r>
    </w:p>
    <w:p w:rsidR="00015F2D" w:rsidRPr="00015F2D" w:rsidRDefault="00015F2D" w:rsidP="00015F2D">
      <w:pPr>
        <w:ind w:firstLine="708"/>
        <w:jc w:val="both"/>
      </w:pPr>
      <w:r w:rsidRPr="00015F2D">
        <w:t>В рамках реализации областной целевой программы геологического изуч</w:t>
      </w:r>
      <w:r w:rsidRPr="00015F2D">
        <w:t>е</w:t>
      </w:r>
      <w:r w:rsidRPr="00015F2D">
        <w:t>ния недр и воспроизводства минерально-сырьевой базы на территории обла</w:t>
      </w:r>
      <w:r w:rsidRPr="00015F2D">
        <w:t>с</w:t>
      </w:r>
      <w:r w:rsidRPr="00015F2D">
        <w:t>ти на 2011-2012 годы,  открыты проектные работы на участк</w:t>
      </w:r>
      <w:r>
        <w:t>е</w:t>
      </w:r>
      <w:r w:rsidRPr="00015F2D">
        <w:t xml:space="preserve"> недр, содержащих пески и песчано-гравийные м</w:t>
      </w:r>
      <w:r w:rsidRPr="00015F2D">
        <w:t>а</w:t>
      </w:r>
      <w:r w:rsidRPr="00015F2D">
        <w:lastRenderedPageBreak/>
        <w:t>териалы, в район</w:t>
      </w:r>
      <w:r>
        <w:t>е д. Кувизино</w:t>
      </w:r>
      <w:r w:rsidRPr="00015F2D">
        <w:t xml:space="preserve"> с целью расширения сырьевой базы данных полезных и</w:t>
      </w:r>
      <w:r w:rsidRPr="00015F2D">
        <w:t>с</w:t>
      </w:r>
      <w:r w:rsidRPr="00015F2D">
        <w:t>копаемых и обеспечения организаций строительной и д</w:t>
      </w:r>
      <w:r w:rsidRPr="00015F2D">
        <w:t>о</w:t>
      </w:r>
      <w:r w:rsidRPr="00015F2D">
        <w:t>рожной отраслей сырьем.</w:t>
      </w:r>
    </w:p>
    <w:p w:rsidR="00015F2D" w:rsidRPr="00015F2D" w:rsidRDefault="00015F2D" w:rsidP="00015F2D">
      <w:pPr>
        <w:ind w:firstLine="720"/>
      </w:pPr>
      <w:r w:rsidRPr="00015F2D">
        <w:t xml:space="preserve">Утверждены нормативы потерь полезных ископаемых на 1 месторождении </w:t>
      </w:r>
      <w:r>
        <w:t>Че</w:t>
      </w:r>
      <w:r>
        <w:t>р</w:t>
      </w:r>
      <w:r>
        <w:t>нушка</w:t>
      </w:r>
      <w:r w:rsidRPr="00015F2D">
        <w:t xml:space="preserve"> для 1 организации -  держателя лицензии на право польз</w:t>
      </w:r>
      <w:r w:rsidRPr="00015F2D">
        <w:t>о</w:t>
      </w:r>
      <w:r w:rsidRPr="00015F2D">
        <w:t>вания недрами.</w:t>
      </w:r>
    </w:p>
    <w:p w:rsidR="00015F2D" w:rsidRPr="00015F2D" w:rsidRDefault="00845538" w:rsidP="00015F2D">
      <w:pPr>
        <w:suppressAutoHyphens/>
        <w:ind w:firstLine="702"/>
        <w:rPr>
          <w:kern w:val="24"/>
        </w:rPr>
      </w:pPr>
      <w:r>
        <w:rPr>
          <w:kern w:val="24"/>
        </w:rPr>
        <w:t xml:space="preserve">У </w:t>
      </w:r>
      <w:r w:rsidR="00015F2D" w:rsidRPr="00015F2D">
        <w:rPr>
          <w:kern w:val="24"/>
        </w:rPr>
        <w:t xml:space="preserve">ООО «Ремдор» </w:t>
      </w:r>
      <w:r>
        <w:rPr>
          <w:kern w:val="24"/>
        </w:rPr>
        <w:t xml:space="preserve">по решению </w:t>
      </w:r>
      <w:r w:rsidR="00015F2D" w:rsidRPr="00015F2D">
        <w:rPr>
          <w:kern w:val="24"/>
        </w:rPr>
        <w:t>Валдайск</w:t>
      </w:r>
      <w:r>
        <w:rPr>
          <w:kern w:val="24"/>
        </w:rPr>
        <w:t>ого</w:t>
      </w:r>
      <w:r w:rsidR="00015F2D" w:rsidRPr="00015F2D">
        <w:rPr>
          <w:kern w:val="24"/>
        </w:rPr>
        <w:t xml:space="preserve"> районн</w:t>
      </w:r>
      <w:r>
        <w:rPr>
          <w:kern w:val="24"/>
        </w:rPr>
        <w:t>ого</w:t>
      </w:r>
      <w:r w:rsidR="00015F2D" w:rsidRPr="00015F2D">
        <w:rPr>
          <w:kern w:val="24"/>
        </w:rPr>
        <w:t xml:space="preserve"> суд</w:t>
      </w:r>
      <w:r>
        <w:rPr>
          <w:kern w:val="24"/>
        </w:rPr>
        <w:t>а</w:t>
      </w:r>
      <w:r w:rsidR="00015F2D" w:rsidRPr="00015F2D">
        <w:rPr>
          <w:kern w:val="24"/>
        </w:rPr>
        <w:t xml:space="preserve"> </w:t>
      </w:r>
      <w:r w:rsidR="00015F2D">
        <w:rPr>
          <w:kern w:val="24"/>
        </w:rPr>
        <w:t>от</w:t>
      </w:r>
      <w:r>
        <w:rPr>
          <w:kern w:val="24"/>
        </w:rPr>
        <w:t>о</w:t>
      </w:r>
      <w:r w:rsidR="00015F2D">
        <w:rPr>
          <w:kern w:val="24"/>
        </w:rPr>
        <w:t>зв</w:t>
      </w:r>
      <w:r>
        <w:rPr>
          <w:kern w:val="24"/>
        </w:rPr>
        <w:t>аны</w:t>
      </w:r>
      <w:r w:rsidR="00015F2D">
        <w:rPr>
          <w:kern w:val="24"/>
        </w:rPr>
        <w:t xml:space="preserve"> лицензии</w:t>
      </w:r>
      <w:r w:rsidR="00015F2D" w:rsidRPr="00015F2D">
        <w:rPr>
          <w:kern w:val="24"/>
        </w:rPr>
        <w:t>.</w:t>
      </w:r>
    </w:p>
    <w:p w:rsidR="007633DB" w:rsidRPr="00015F2D" w:rsidRDefault="007633DB" w:rsidP="004B234B">
      <w:pPr>
        <w:jc w:val="both"/>
      </w:pPr>
    </w:p>
    <w:p w:rsidR="008426F2" w:rsidRDefault="008426F2" w:rsidP="00480304">
      <w:pPr>
        <w:jc w:val="center"/>
        <w:rPr>
          <w:b/>
          <w:sz w:val="28"/>
          <w:szCs w:val="28"/>
        </w:rPr>
      </w:pPr>
      <w:r w:rsidRPr="00C32308">
        <w:rPr>
          <w:b/>
          <w:sz w:val="28"/>
          <w:szCs w:val="28"/>
        </w:rPr>
        <w:t>СТРОИТЕЛЬСТВО.</w:t>
      </w:r>
    </w:p>
    <w:p w:rsidR="000A77CC" w:rsidRPr="00C32308" w:rsidRDefault="000A77CC" w:rsidP="00480304">
      <w:pPr>
        <w:jc w:val="center"/>
        <w:rPr>
          <w:b/>
          <w:sz w:val="28"/>
          <w:szCs w:val="28"/>
        </w:rPr>
      </w:pPr>
    </w:p>
    <w:p w:rsidR="008426F2" w:rsidRDefault="008426F2" w:rsidP="004B234B">
      <w:pPr>
        <w:jc w:val="both"/>
      </w:pPr>
      <w:r w:rsidRPr="00995DE0">
        <w:tab/>
        <w:t xml:space="preserve">В </w:t>
      </w:r>
      <w:r w:rsidR="007030B0" w:rsidRPr="00995DE0">
        <w:t xml:space="preserve"> </w:t>
      </w:r>
      <w:r w:rsidRPr="00995DE0">
        <w:t>201</w:t>
      </w:r>
      <w:r w:rsidR="0036652A" w:rsidRPr="00995DE0">
        <w:t>2</w:t>
      </w:r>
      <w:r w:rsidRPr="00995DE0">
        <w:t xml:space="preserve"> год</w:t>
      </w:r>
      <w:r w:rsidR="00FD1636">
        <w:t>у</w:t>
      </w:r>
      <w:r w:rsidRPr="00995DE0">
        <w:t xml:space="preserve"> объём работ и услуг, выполненных собственными силами по виду де</w:t>
      </w:r>
      <w:r w:rsidRPr="00995DE0">
        <w:t>я</w:t>
      </w:r>
      <w:r w:rsidRPr="00995DE0">
        <w:t xml:space="preserve">тельности «строительство» </w:t>
      </w:r>
      <w:r w:rsidR="0020407D" w:rsidRPr="00995DE0">
        <w:t>составил:</w:t>
      </w:r>
    </w:p>
    <w:p w:rsidR="007A6437" w:rsidRPr="00995DE0" w:rsidRDefault="007A6437" w:rsidP="004B234B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88"/>
        <w:gridCol w:w="1113"/>
        <w:gridCol w:w="1466"/>
      </w:tblGrid>
      <w:tr w:rsidR="00885915" w:rsidRPr="00995DE0">
        <w:trPr>
          <w:trHeight w:val="276"/>
        </w:trPr>
        <w:tc>
          <w:tcPr>
            <w:tcW w:w="6588" w:type="dxa"/>
            <w:vMerge w:val="restart"/>
          </w:tcPr>
          <w:p w:rsidR="00885915" w:rsidRPr="00995DE0" w:rsidRDefault="00885915" w:rsidP="008426F2">
            <w:r w:rsidRPr="00995DE0">
              <w:t xml:space="preserve">Показатели </w:t>
            </w:r>
          </w:p>
        </w:tc>
        <w:tc>
          <w:tcPr>
            <w:tcW w:w="0" w:type="auto"/>
            <w:vMerge w:val="restart"/>
          </w:tcPr>
          <w:p w:rsidR="00885915" w:rsidRPr="00995DE0" w:rsidRDefault="00885915" w:rsidP="008426F2">
            <w:r w:rsidRPr="00995DE0">
              <w:t>Тыс.руб.</w:t>
            </w:r>
          </w:p>
          <w:p w:rsidR="00885915" w:rsidRPr="00995DE0" w:rsidRDefault="00885915" w:rsidP="008426F2">
            <w:r w:rsidRPr="00995DE0">
              <w:t>201</w:t>
            </w:r>
            <w:r w:rsidR="003240CF" w:rsidRPr="00995DE0">
              <w:t>2</w:t>
            </w:r>
            <w:r w:rsidRPr="00995DE0">
              <w:t xml:space="preserve"> год</w:t>
            </w:r>
          </w:p>
        </w:tc>
        <w:tc>
          <w:tcPr>
            <w:tcW w:w="1404" w:type="dxa"/>
            <w:vMerge w:val="restart"/>
          </w:tcPr>
          <w:p w:rsidR="00885915" w:rsidRPr="00995DE0" w:rsidRDefault="00885915" w:rsidP="008426F2">
            <w:r w:rsidRPr="00995DE0">
              <w:t>В % к 20</w:t>
            </w:r>
            <w:r w:rsidR="007030B0" w:rsidRPr="00995DE0">
              <w:t>1</w:t>
            </w:r>
            <w:r w:rsidR="003240CF" w:rsidRPr="00995DE0">
              <w:t>1</w:t>
            </w:r>
            <w:r w:rsidRPr="00995DE0">
              <w:t xml:space="preserve"> г</w:t>
            </w:r>
            <w:r w:rsidRPr="00995DE0">
              <w:t>о</w:t>
            </w:r>
            <w:r w:rsidRPr="00995DE0">
              <w:t>ду</w:t>
            </w:r>
            <w:r w:rsidR="007A10D5" w:rsidRPr="00995DE0">
              <w:t>(индекс физ.объема)</w:t>
            </w:r>
          </w:p>
        </w:tc>
      </w:tr>
      <w:tr w:rsidR="00885915" w:rsidRPr="00995DE0">
        <w:trPr>
          <w:trHeight w:val="276"/>
        </w:trPr>
        <w:tc>
          <w:tcPr>
            <w:tcW w:w="6588" w:type="dxa"/>
            <w:vMerge/>
          </w:tcPr>
          <w:p w:rsidR="00885915" w:rsidRPr="00995DE0" w:rsidRDefault="00885915" w:rsidP="008426F2"/>
        </w:tc>
        <w:tc>
          <w:tcPr>
            <w:tcW w:w="0" w:type="auto"/>
            <w:vMerge/>
          </w:tcPr>
          <w:p w:rsidR="00885915" w:rsidRPr="00995DE0" w:rsidRDefault="00885915" w:rsidP="008426F2"/>
        </w:tc>
        <w:tc>
          <w:tcPr>
            <w:tcW w:w="1404" w:type="dxa"/>
            <w:vMerge/>
          </w:tcPr>
          <w:p w:rsidR="00885915" w:rsidRPr="00995DE0" w:rsidRDefault="00885915" w:rsidP="008426F2"/>
        </w:tc>
      </w:tr>
      <w:tr w:rsidR="00885915" w:rsidRPr="00995DE0">
        <w:tc>
          <w:tcPr>
            <w:tcW w:w="6588" w:type="dxa"/>
          </w:tcPr>
          <w:p w:rsidR="00885915" w:rsidRPr="00995DE0" w:rsidRDefault="00885915" w:rsidP="008426F2">
            <w:r w:rsidRPr="00995DE0">
              <w:t>Объём работ  и услуг , выполненных собстве</w:t>
            </w:r>
            <w:r w:rsidRPr="00995DE0">
              <w:t>н</w:t>
            </w:r>
            <w:r w:rsidRPr="00995DE0">
              <w:t>ными силами по виду деятельности «стро</w:t>
            </w:r>
            <w:r w:rsidRPr="00995DE0">
              <w:t>и</w:t>
            </w:r>
            <w:r w:rsidRPr="00995DE0">
              <w:t>тельство»</w:t>
            </w:r>
          </w:p>
        </w:tc>
        <w:tc>
          <w:tcPr>
            <w:tcW w:w="0" w:type="auto"/>
          </w:tcPr>
          <w:p w:rsidR="00885915" w:rsidRPr="00995DE0" w:rsidRDefault="00FD1636" w:rsidP="003240CF">
            <w:pPr>
              <w:jc w:val="center"/>
            </w:pPr>
            <w:r>
              <w:t>103513</w:t>
            </w:r>
          </w:p>
        </w:tc>
        <w:tc>
          <w:tcPr>
            <w:tcW w:w="1404" w:type="dxa"/>
          </w:tcPr>
          <w:p w:rsidR="00885915" w:rsidRPr="00995DE0" w:rsidRDefault="00FD1636" w:rsidP="003240CF">
            <w:pPr>
              <w:jc w:val="center"/>
            </w:pPr>
            <w:r>
              <w:t>82,6</w:t>
            </w:r>
          </w:p>
        </w:tc>
      </w:tr>
    </w:tbl>
    <w:p w:rsidR="0020407D" w:rsidRPr="00995DE0" w:rsidRDefault="00EA5EFB" w:rsidP="004B234B">
      <w:pPr>
        <w:jc w:val="both"/>
      </w:pPr>
      <w:r w:rsidRPr="00995DE0">
        <w:tab/>
      </w:r>
    </w:p>
    <w:p w:rsidR="006773B9" w:rsidRPr="00995DE0" w:rsidRDefault="00217ADB" w:rsidP="004B234B">
      <w:pPr>
        <w:jc w:val="both"/>
      </w:pPr>
      <w:r w:rsidRPr="00995DE0">
        <w:tab/>
      </w:r>
      <w:r w:rsidR="00044E9C">
        <w:t xml:space="preserve">За </w:t>
      </w:r>
      <w:r w:rsidR="002D3127" w:rsidRPr="00995DE0">
        <w:t xml:space="preserve"> </w:t>
      </w:r>
      <w:r w:rsidRPr="00995DE0">
        <w:t>201</w:t>
      </w:r>
      <w:r w:rsidR="00F7069C" w:rsidRPr="00995DE0">
        <w:t>2</w:t>
      </w:r>
      <w:r w:rsidRPr="00995DE0">
        <w:t xml:space="preserve"> год</w:t>
      </w:r>
      <w:r w:rsidR="002D3127" w:rsidRPr="00995DE0">
        <w:t xml:space="preserve"> индивидуальными застройщиками </w:t>
      </w:r>
      <w:r w:rsidRPr="00995DE0">
        <w:t xml:space="preserve"> построено</w:t>
      </w:r>
      <w:r w:rsidR="00885915" w:rsidRPr="00995DE0">
        <w:t xml:space="preserve"> </w:t>
      </w:r>
      <w:r w:rsidR="00C71279">
        <w:t>1</w:t>
      </w:r>
      <w:r w:rsidR="00FD1636">
        <w:t>23</w:t>
      </w:r>
      <w:r w:rsidR="00C71279">
        <w:t xml:space="preserve"> </w:t>
      </w:r>
      <w:r w:rsidR="00FC7CA1" w:rsidRPr="00995DE0">
        <w:t>жилых</w:t>
      </w:r>
      <w:r w:rsidRPr="00995DE0">
        <w:t xml:space="preserve"> </w:t>
      </w:r>
      <w:r w:rsidR="002D3127" w:rsidRPr="00995DE0">
        <w:t>дом</w:t>
      </w:r>
      <w:r w:rsidR="00542BC6" w:rsidRPr="00995DE0">
        <w:t>а</w:t>
      </w:r>
      <w:r w:rsidRPr="00995DE0">
        <w:t xml:space="preserve"> о</w:t>
      </w:r>
      <w:r w:rsidRPr="00995DE0">
        <w:t>б</w:t>
      </w:r>
      <w:r w:rsidRPr="00995DE0">
        <w:t xml:space="preserve">щей площадью </w:t>
      </w:r>
      <w:r w:rsidR="00C71279">
        <w:t>1</w:t>
      </w:r>
      <w:r w:rsidR="00FD1636">
        <w:t>3147</w:t>
      </w:r>
      <w:r w:rsidR="00365020" w:rsidRPr="00995DE0">
        <w:t xml:space="preserve">  </w:t>
      </w:r>
      <w:r w:rsidRPr="00995DE0">
        <w:t>квадратных метров</w:t>
      </w:r>
      <w:r w:rsidR="009A2F2B" w:rsidRPr="00995DE0">
        <w:t xml:space="preserve"> (</w:t>
      </w:r>
      <w:r w:rsidR="00C71279">
        <w:t xml:space="preserve">рост </w:t>
      </w:r>
      <w:r w:rsidR="005669AB">
        <w:t>2,</w:t>
      </w:r>
      <w:r w:rsidR="00FD1636">
        <w:t>7</w:t>
      </w:r>
      <w:r w:rsidR="00C71279">
        <w:t xml:space="preserve"> </w:t>
      </w:r>
      <w:r w:rsidR="009A2F2B" w:rsidRPr="00995DE0">
        <w:t>раза</w:t>
      </w:r>
      <w:r w:rsidR="00BC5D8F" w:rsidRPr="00995DE0">
        <w:t xml:space="preserve"> </w:t>
      </w:r>
      <w:r w:rsidR="009A2F2B" w:rsidRPr="00995DE0">
        <w:t>)</w:t>
      </w:r>
      <w:r w:rsidR="00542BC6" w:rsidRPr="00995DE0">
        <w:t>.</w:t>
      </w:r>
      <w:r w:rsidR="00C92B92">
        <w:t xml:space="preserve"> </w:t>
      </w:r>
      <w:r w:rsidR="00542BC6" w:rsidRPr="00995DE0">
        <w:t>Кроме того, введен</w:t>
      </w:r>
      <w:r w:rsidR="00C92B92">
        <w:t>ы</w:t>
      </w:r>
      <w:r w:rsidR="00542BC6" w:rsidRPr="00995DE0">
        <w:t xml:space="preserve"> в эксплуат</w:t>
      </w:r>
      <w:r w:rsidR="00542BC6" w:rsidRPr="00995DE0">
        <w:t>а</w:t>
      </w:r>
      <w:r w:rsidR="00542BC6" w:rsidRPr="00995DE0">
        <w:t>цию  10-квартирный дом по ул. Энергетиков площа</w:t>
      </w:r>
      <w:r w:rsidR="002716BB">
        <w:t>дью 369 кв.м.,</w:t>
      </w:r>
      <w:r w:rsidR="00C92B92">
        <w:t xml:space="preserve"> 40 кв. дом в п.Рощино, пл</w:t>
      </w:r>
      <w:r w:rsidR="00C92B92">
        <w:t>о</w:t>
      </w:r>
      <w:r w:rsidR="00C92B92">
        <w:t>щадью 2136 кв.м.</w:t>
      </w:r>
      <w:r w:rsidR="002716BB">
        <w:t xml:space="preserve">и </w:t>
      </w:r>
      <w:r w:rsidR="00C71279">
        <w:t>первая очередь (84 квартиры) дома по ул. Песчаная площадью</w:t>
      </w:r>
      <w:r w:rsidR="0081782B">
        <w:t xml:space="preserve"> </w:t>
      </w:r>
      <w:r w:rsidR="00C71279">
        <w:t>3529 кв.м.</w:t>
      </w:r>
    </w:p>
    <w:p w:rsidR="002D3127" w:rsidRPr="00995DE0" w:rsidRDefault="002D3127" w:rsidP="004B234B">
      <w:pPr>
        <w:jc w:val="both"/>
      </w:pPr>
    </w:p>
    <w:p w:rsidR="001A699B" w:rsidRPr="00995DE0" w:rsidRDefault="001A699B" w:rsidP="008426F2">
      <w:r w:rsidRPr="00995DE0">
        <w:t>Ввод в действие жил</w:t>
      </w:r>
      <w:r w:rsidR="00542BC6" w:rsidRPr="00995DE0">
        <w:t>ья</w:t>
      </w:r>
      <w:r w:rsidRPr="00995DE0">
        <w:t xml:space="preserve"> представлен на диаграмме :</w:t>
      </w:r>
    </w:p>
    <w:p w:rsidR="001A699B" w:rsidRPr="00995DE0" w:rsidRDefault="001A699B" w:rsidP="008426F2"/>
    <w:p w:rsidR="00731C86" w:rsidRPr="00995DE0" w:rsidRDefault="00336E81" w:rsidP="008426F2">
      <w:r>
        <w:rPr>
          <w:noProof/>
        </w:rPr>
        <w:drawing>
          <wp:inline distT="0" distB="0" distL="0" distR="0">
            <wp:extent cx="4965700" cy="23368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1C86" w:rsidRDefault="002D3127" w:rsidP="00FE59AA">
      <w:pPr>
        <w:jc w:val="both"/>
      </w:pPr>
      <w:r w:rsidRPr="00995DE0">
        <w:tab/>
      </w:r>
      <w:r w:rsidR="00731C86" w:rsidRPr="00995DE0">
        <w:t xml:space="preserve">Показатель ввода жилья на душу населения составил </w:t>
      </w:r>
      <w:r w:rsidR="00885915" w:rsidRPr="00995DE0">
        <w:t>0,</w:t>
      </w:r>
      <w:r w:rsidR="00C92B92">
        <w:t>7</w:t>
      </w:r>
      <w:r w:rsidR="00FD1636">
        <w:t>4</w:t>
      </w:r>
      <w:r w:rsidR="00433527" w:rsidRPr="00995DE0">
        <w:t xml:space="preserve"> </w:t>
      </w:r>
      <w:r w:rsidR="00731C86" w:rsidRPr="00995DE0">
        <w:t>к</w:t>
      </w:r>
      <w:r w:rsidR="00FD153B" w:rsidRPr="00995DE0">
        <w:t>в</w:t>
      </w:r>
      <w:r w:rsidR="00731C86" w:rsidRPr="00995DE0">
        <w:t>.м. Средняя обесп</w:t>
      </w:r>
      <w:r w:rsidR="00731C86" w:rsidRPr="00995DE0">
        <w:t>е</w:t>
      </w:r>
      <w:r w:rsidR="00731C86" w:rsidRPr="00995DE0">
        <w:t xml:space="preserve">ченность жильём на одного жителя составляет </w:t>
      </w:r>
      <w:r w:rsidR="00885915" w:rsidRPr="00995DE0">
        <w:t>3</w:t>
      </w:r>
      <w:r w:rsidR="007D7692">
        <w:t>3,</w:t>
      </w:r>
      <w:r w:rsidR="00FD1636">
        <w:t>4</w:t>
      </w:r>
      <w:r w:rsidR="00731C86" w:rsidRPr="00995DE0">
        <w:t xml:space="preserve"> кв.м</w:t>
      </w:r>
      <w:r w:rsidR="00885915" w:rsidRPr="00995DE0">
        <w:t>.</w:t>
      </w:r>
    </w:p>
    <w:p w:rsidR="00FE59AA" w:rsidRPr="00160FF8" w:rsidRDefault="00FE59AA" w:rsidP="00FE59AA">
      <w:pPr>
        <w:ind w:firstLine="708"/>
        <w:jc w:val="both"/>
      </w:pPr>
      <w:r w:rsidRPr="00160FF8">
        <w:t>В рамках реализации полномочий по обеспечению жильем участников, инвалидов Великой Отечественной войны, членов семей погибших (умерших) участников, инвал</w:t>
      </w:r>
      <w:r w:rsidRPr="00160FF8">
        <w:t>и</w:t>
      </w:r>
      <w:r w:rsidRPr="00160FF8">
        <w:t xml:space="preserve">дов Великой Отечественной войны,  в период с 01.01.2012   выдано </w:t>
      </w:r>
      <w:r w:rsidR="00160FF8" w:rsidRPr="00160FF8">
        <w:t>1</w:t>
      </w:r>
      <w:r w:rsidR="008E7735">
        <w:t>6</w:t>
      </w:r>
      <w:r w:rsidRPr="00160FF8">
        <w:t xml:space="preserve"> свидетельств </w:t>
      </w:r>
      <w:r w:rsidR="00160FF8" w:rsidRPr="00160FF8">
        <w:t>вет</w:t>
      </w:r>
      <w:r w:rsidR="00160FF8" w:rsidRPr="00160FF8">
        <w:t>е</w:t>
      </w:r>
      <w:r w:rsidR="00160FF8" w:rsidRPr="00160FF8">
        <w:t xml:space="preserve">ранам, состоящим </w:t>
      </w:r>
      <w:r w:rsidRPr="00160FF8">
        <w:t>на учете</w:t>
      </w:r>
      <w:r w:rsidR="00160FF8" w:rsidRPr="00160FF8">
        <w:t>.</w:t>
      </w:r>
    </w:p>
    <w:p w:rsidR="00FE59AA" w:rsidRDefault="00FE59AA" w:rsidP="00FE59AA">
      <w:pPr>
        <w:ind w:firstLine="720"/>
      </w:pPr>
      <w:r w:rsidRPr="00160FF8">
        <w:t xml:space="preserve">В этом году Валдайский район </w:t>
      </w:r>
      <w:r w:rsidR="00845538">
        <w:t>(</w:t>
      </w:r>
      <w:r w:rsidRPr="00160FF8">
        <w:t>в числе еще 5 районов области - Батецкий, Демя</w:t>
      </w:r>
      <w:r w:rsidRPr="00160FF8">
        <w:t>н</w:t>
      </w:r>
      <w:r w:rsidRPr="00160FF8">
        <w:t>ский, Маловишерский, Холмский и городской округ Великий Новгород)  стал участн</w:t>
      </w:r>
      <w:r w:rsidRPr="00160FF8">
        <w:t>и</w:t>
      </w:r>
      <w:r w:rsidRPr="00160FF8">
        <w:t>ком федеральн</w:t>
      </w:r>
      <w:r w:rsidR="00BA21AD">
        <w:t>ой</w:t>
      </w:r>
      <w:r w:rsidRPr="00160FF8">
        <w:t xml:space="preserve"> подпрограмм</w:t>
      </w:r>
      <w:r w:rsidR="00BA21AD">
        <w:t>ы</w:t>
      </w:r>
      <w:r w:rsidRPr="00160FF8">
        <w:t xml:space="preserve">   «Обеспечение жильем молодых семей» в рамках  федерал</w:t>
      </w:r>
      <w:r w:rsidRPr="00160FF8">
        <w:t>ь</w:t>
      </w:r>
      <w:r w:rsidRPr="00160FF8">
        <w:t>ной целевой программы «Жилище» на 2011-2015 годы.</w:t>
      </w:r>
      <w:r w:rsidR="00845538">
        <w:t xml:space="preserve"> </w:t>
      </w:r>
      <w:r w:rsidR="00EE66F1">
        <w:t>В рамках этой программы 2 мол</w:t>
      </w:r>
      <w:r w:rsidR="00EE66F1">
        <w:t>о</w:t>
      </w:r>
      <w:r w:rsidR="00EE66F1">
        <w:t>дых семьи получили возможность улучшить жилищные условия. Сумма средств, пол</w:t>
      </w:r>
      <w:r w:rsidR="00EE66F1">
        <w:t>у</w:t>
      </w:r>
      <w:r w:rsidR="00EE66F1">
        <w:t xml:space="preserve">ченная ими из бюджетов трех уровней, составила </w:t>
      </w:r>
      <w:r w:rsidR="00B279A8">
        <w:t>945,8</w:t>
      </w:r>
      <w:r w:rsidR="00EE66F1">
        <w:t xml:space="preserve"> тыс. руб.  </w:t>
      </w:r>
    </w:p>
    <w:p w:rsidR="0054087D" w:rsidRPr="00160FF8" w:rsidRDefault="0054087D" w:rsidP="00FE59AA">
      <w:pPr>
        <w:ind w:firstLine="720"/>
      </w:pPr>
      <w:r>
        <w:t>В рамках областной целевой программы «Переселение граждан , проживающих на территории Новгородской области из многоквартирных домов, признанных аварийными и подлежащими сносу или реконструкции в 2010-2015 годах» приобретена квартира в и в</w:t>
      </w:r>
      <w:r>
        <w:t>е</w:t>
      </w:r>
      <w:r>
        <w:lastRenderedPageBreak/>
        <w:t>дётся  строительство 12 квартирного жилого дома в с. Яжелбицы. На эти цели израсход</w:t>
      </w:r>
      <w:r>
        <w:t>о</w:t>
      </w:r>
      <w:r>
        <w:t>вано 3,</w:t>
      </w:r>
      <w:r w:rsidR="0037330D">
        <w:t>2</w:t>
      </w:r>
      <w:r>
        <w:t xml:space="preserve"> млн.руб.</w:t>
      </w:r>
    </w:p>
    <w:p w:rsidR="007030B0" w:rsidRPr="00995DE0" w:rsidRDefault="002D3127" w:rsidP="007030B0">
      <w:r w:rsidRPr="00995DE0">
        <w:tab/>
      </w:r>
      <w:r w:rsidR="00731C86" w:rsidRPr="00995DE0">
        <w:t>В 201</w:t>
      </w:r>
      <w:r w:rsidR="00917126" w:rsidRPr="00995DE0">
        <w:t>2</w:t>
      </w:r>
      <w:r w:rsidR="00731C86" w:rsidRPr="00995DE0">
        <w:t xml:space="preserve"> году </w:t>
      </w:r>
      <w:r w:rsidR="000E27E5" w:rsidRPr="00995DE0">
        <w:t>пр</w:t>
      </w:r>
      <w:r w:rsidR="00731C86" w:rsidRPr="00995DE0">
        <w:t>одолж</w:t>
      </w:r>
      <w:r w:rsidR="000E27E5" w:rsidRPr="00995DE0">
        <w:t>а</w:t>
      </w:r>
      <w:r w:rsidR="000D28D2">
        <w:t>лось</w:t>
      </w:r>
      <w:r w:rsidR="00731C86" w:rsidRPr="00995DE0">
        <w:t xml:space="preserve"> строительство 140-квартирного дома по ул. Песч</w:t>
      </w:r>
      <w:r w:rsidR="00731C86" w:rsidRPr="00995DE0">
        <w:t>а</w:t>
      </w:r>
      <w:r w:rsidR="00731C86" w:rsidRPr="00995DE0">
        <w:t xml:space="preserve">ной, (заказчик УМ </w:t>
      </w:r>
      <w:smartTag w:uri="urn:schemas-microsoft-com:office:smarttags" w:element="metricconverter">
        <w:smartTagPr>
          <w:attr w:name="ProductID" w:val="-282 г"/>
        </w:smartTagPr>
        <w:r w:rsidR="00731C86" w:rsidRPr="00995DE0">
          <w:t>-282 г</w:t>
        </w:r>
      </w:smartTag>
      <w:r w:rsidR="00731C86" w:rsidRPr="00995DE0">
        <w:t>.Боровичи)</w:t>
      </w:r>
      <w:r w:rsidR="00BF3FC6" w:rsidRPr="00995DE0">
        <w:t>,</w:t>
      </w:r>
      <w:r w:rsidR="00731C86" w:rsidRPr="00995DE0">
        <w:t xml:space="preserve"> 228 квартирного дома (заказчик ООО «</w:t>
      </w:r>
      <w:r w:rsidR="007B7807">
        <w:t>Инвест</w:t>
      </w:r>
      <w:r w:rsidR="00731C86" w:rsidRPr="00995DE0">
        <w:t>Кап</w:t>
      </w:r>
      <w:r w:rsidR="007B7807">
        <w:t>с</w:t>
      </w:r>
      <w:r w:rsidR="00731C86" w:rsidRPr="00995DE0">
        <w:t>т</w:t>
      </w:r>
      <w:r w:rsidR="00731C86" w:rsidRPr="00995DE0">
        <w:t>ро</w:t>
      </w:r>
      <w:r w:rsidR="007B7807">
        <w:t>й</w:t>
      </w:r>
      <w:r w:rsidR="00731C86" w:rsidRPr="00995DE0">
        <w:t>»)</w:t>
      </w:r>
      <w:r w:rsidR="00BF3FC6" w:rsidRPr="00995DE0">
        <w:t xml:space="preserve"> </w:t>
      </w:r>
      <w:r w:rsidR="00C95B70" w:rsidRPr="00995DE0">
        <w:t xml:space="preserve"> </w:t>
      </w:r>
      <w:r w:rsidR="00B509E7">
        <w:t>12</w:t>
      </w:r>
      <w:r w:rsidR="007B7807">
        <w:t xml:space="preserve"> квартирного дома в с. Яжелбицы. </w:t>
      </w:r>
      <w:r w:rsidR="00C95B70" w:rsidRPr="00726936">
        <w:t>Сформирован</w:t>
      </w:r>
      <w:r w:rsidR="00F01E76" w:rsidRPr="00726936">
        <w:t xml:space="preserve">ы </w:t>
      </w:r>
      <w:r w:rsidR="00C95B70" w:rsidRPr="00726936">
        <w:t>участок под строительство 35 ква</w:t>
      </w:r>
      <w:r w:rsidR="00C95B70" w:rsidRPr="00726936">
        <w:t>р</w:t>
      </w:r>
      <w:r w:rsidR="00C95B70" w:rsidRPr="00726936">
        <w:t>тирного дома</w:t>
      </w:r>
      <w:r w:rsidR="003344BD" w:rsidRPr="00726936">
        <w:t xml:space="preserve"> по ул.Ленина, </w:t>
      </w:r>
      <w:r w:rsidR="00F01E76" w:rsidRPr="00726936">
        <w:t>где</w:t>
      </w:r>
      <w:r w:rsidR="003344BD" w:rsidRPr="00726936">
        <w:t xml:space="preserve"> ведутся проектно-сметные работы</w:t>
      </w:r>
      <w:r w:rsidR="00C95B70" w:rsidRPr="00726936">
        <w:t xml:space="preserve">, </w:t>
      </w:r>
      <w:r w:rsidR="003344BD" w:rsidRPr="00726936">
        <w:t xml:space="preserve"> </w:t>
      </w:r>
      <w:r w:rsidR="007B7807" w:rsidRPr="00726936">
        <w:t xml:space="preserve"> и земельный участок </w:t>
      </w:r>
      <w:smartTag w:uri="urn:schemas-microsoft-com:office:smarttags" w:element="metricconverter">
        <w:smartTagPr>
          <w:attr w:name="ProductID" w:val="0,8 га"/>
        </w:smartTagPr>
        <w:r w:rsidR="007B7807" w:rsidRPr="00726936">
          <w:t>0,8 га</w:t>
        </w:r>
      </w:smartTag>
      <w:r w:rsidR="007B7807" w:rsidRPr="00726936">
        <w:t xml:space="preserve"> под многоквартирное жилищное строительство по ул. Песчаная.</w:t>
      </w:r>
    </w:p>
    <w:p w:rsidR="00731C86" w:rsidRDefault="003344BD" w:rsidP="004B234B">
      <w:pPr>
        <w:jc w:val="both"/>
      </w:pPr>
      <w:r>
        <w:tab/>
        <w:t xml:space="preserve">В г.Валдае начато строительство универсального спортивного зала с плавательным бассейном, срок ввода в эксплуатацию которого </w:t>
      </w:r>
      <w:r w:rsidR="00141BEB">
        <w:t>запланирован</w:t>
      </w:r>
      <w:r>
        <w:t xml:space="preserve"> </w:t>
      </w:r>
      <w:r w:rsidR="00141BEB">
        <w:t>на</w:t>
      </w:r>
      <w:r>
        <w:t xml:space="preserve"> 2015 год. </w:t>
      </w:r>
    </w:p>
    <w:p w:rsidR="007B7807" w:rsidRPr="00995DE0" w:rsidRDefault="007B7807" w:rsidP="004B234B">
      <w:pPr>
        <w:jc w:val="both"/>
      </w:pPr>
    </w:p>
    <w:p w:rsidR="00731C86" w:rsidRPr="00995DE0" w:rsidRDefault="00731C86" w:rsidP="008426F2">
      <w:r w:rsidRPr="00995DE0">
        <w:t>Объёмы работ и услуг, выполненных предприятиями</w:t>
      </w:r>
      <w:r w:rsidR="007A10D5" w:rsidRPr="00995DE0">
        <w:t xml:space="preserve"> района</w:t>
      </w:r>
      <w:r w:rsidR="00C32308">
        <w:t xml:space="preserve"> за  2012 г</w:t>
      </w:r>
      <w:r w:rsidR="00C32308">
        <w:t>о</w:t>
      </w:r>
      <w:r w:rsidR="00D27A37">
        <w:t>д</w:t>
      </w:r>
      <w:r w:rsidR="00C32308">
        <w:t>.</w:t>
      </w:r>
      <w:r w:rsidR="007A10D5" w:rsidRPr="00995DE0">
        <w:t xml:space="preserve"> </w:t>
      </w:r>
    </w:p>
    <w:p w:rsidR="00885915" w:rsidRPr="00995DE0" w:rsidRDefault="00885915" w:rsidP="00885915">
      <w:r w:rsidRPr="00995DE0">
        <w:t xml:space="preserve">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64"/>
        <w:gridCol w:w="996"/>
        <w:gridCol w:w="1097"/>
        <w:gridCol w:w="1351"/>
      </w:tblGrid>
      <w:tr w:rsidR="00612088" w:rsidRPr="00995DE0" w:rsidTr="00612088">
        <w:tc>
          <w:tcPr>
            <w:tcW w:w="3464" w:type="dxa"/>
          </w:tcPr>
          <w:p w:rsidR="00612088" w:rsidRPr="00EC4681" w:rsidRDefault="00612088" w:rsidP="008426F2">
            <w:r w:rsidRPr="00EC4681">
              <w:t>Наименование организации</w:t>
            </w:r>
          </w:p>
        </w:tc>
        <w:tc>
          <w:tcPr>
            <w:tcW w:w="996" w:type="dxa"/>
          </w:tcPr>
          <w:p w:rsidR="00612088" w:rsidRPr="00EC4681" w:rsidRDefault="00612088" w:rsidP="008426F2">
            <w:r w:rsidRPr="00EC4681">
              <w:t>2012 год</w:t>
            </w:r>
          </w:p>
        </w:tc>
        <w:tc>
          <w:tcPr>
            <w:tcW w:w="0" w:type="auto"/>
          </w:tcPr>
          <w:p w:rsidR="00612088" w:rsidRPr="00EC4681" w:rsidRDefault="00612088" w:rsidP="000C5F54">
            <w:r w:rsidRPr="00EC4681">
              <w:t>2011 год</w:t>
            </w:r>
          </w:p>
        </w:tc>
        <w:tc>
          <w:tcPr>
            <w:tcW w:w="0" w:type="auto"/>
          </w:tcPr>
          <w:p w:rsidR="00612088" w:rsidRPr="00EC4681" w:rsidRDefault="00612088" w:rsidP="008426F2">
            <w:smartTag w:uri="urn:schemas-microsoft-com:office:smarttags" w:element="metricconverter">
              <w:smartTagPr>
                <w:attr w:name="ProductID" w:val="2012 г"/>
              </w:smartTagPr>
              <w:r w:rsidRPr="00EC4681">
                <w:t>2012 г</w:t>
              </w:r>
            </w:smartTag>
            <w:r w:rsidRPr="00EC4681">
              <w:t xml:space="preserve">.в </w:t>
            </w:r>
          </w:p>
          <w:p w:rsidR="00612088" w:rsidRPr="00EC4681" w:rsidRDefault="00612088" w:rsidP="008426F2">
            <w:r w:rsidRPr="00EC4681">
              <w:t xml:space="preserve">% к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C4681">
                <w:t>2011 г</w:t>
              </w:r>
            </w:smartTag>
            <w:r w:rsidRPr="00EC4681">
              <w:t>.</w:t>
            </w:r>
          </w:p>
        </w:tc>
      </w:tr>
      <w:tr w:rsidR="00612088" w:rsidRPr="00995DE0" w:rsidTr="00612088">
        <w:tc>
          <w:tcPr>
            <w:tcW w:w="3464" w:type="dxa"/>
          </w:tcPr>
          <w:p w:rsidR="00612088" w:rsidRPr="00EC4681" w:rsidRDefault="00612088" w:rsidP="008426F2">
            <w:r w:rsidRPr="00EC4681">
              <w:t>ЗАО «Мелиодорстрой»</w:t>
            </w:r>
          </w:p>
        </w:tc>
        <w:tc>
          <w:tcPr>
            <w:tcW w:w="996" w:type="dxa"/>
          </w:tcPr>
          <w:p w:rsidR="00612088" w:rsidRPr="00EC4681" w:rsidRDefault="00171B1E" w:rsidP="007030B0">
            <w:pPr>
              <w:jc w:val="center"/>
            </w:pPr>
            <w:r>
              <w:t>24421,3</w:t>
            </w:r>
          </w:p>
        </w:tc>
        <w:tc>
          <w:tcPr>
            <w:tcW w:w="0" w:type="auto"/>
          </w:tcPr>
          <w:p w:rsidR="00612088" w:rsidRPr="00EC4681" w:rsidRDefault="00171B1E" w:rsidP="000C5F54">
            <w:pPr>
              <w:jc w:val="center"/>
            </w:pPr>
            <w:r>
              <w:t>18906</w:t>
            </w:r>
          </w:p>
        </w:tc>
        <w:tc>
          <w:tcPr>
            <w:tcW w:w="0" w:type="auto"/>
          </w:tcPr>
          <w:p w:rsidR="00612088" w:rsidRPr="00EC4681" w:rsidRDefault="00171B1E" w:rsidP="007030B0">
            <w:pPr>
              <w:jc w:val="center"/>
            </w:pPr>
            <w:r>
              <w:t>129,2</w:t>
            </w:r>
          </w:p>
        </w:tc>
      </w:tr>
      <w:tr w:rsidR="00612088" w:rsidRPr="00995DE0" w:rsidTr="00612088">
        <w:tc>
          <w:tcPr>
            <w:tcW w:w="3464" w:type="dxa"/>
          </w:tcPr>
          <w:p w:rsidR="00612088" w:rsidRPr="00EC4681" w:rsidRDefault="00612088" w:rsidP="008426F2">
            <w:r w:rsidRPr="00EC4681">
              <w:t>ЗАО «СУ-5»</w:t>
            </w:r>
          </w:p>
        </w:tc>
        <w:tc>
          <w:tcPr>
            <w:tcW w:w="996" w:type="dxa"/>
          </w:tcPr>
          <w:p w:rsidR="00612088" w:rsidRPr="00EC4681" w:rsidRDefault="00171B1E" w:rsidP="007030B0">
            <w:pPr>
              <w:jc w:val="center"/>
            </w:pPr>
            <w:r>
              <w:t>4035,7</w:t>
            </w:r>
          </w:p>
        </w:tc>
        <w:tc>
          <w:tcPr>
            <w:tcW w:w="0" w:type="auto"/>
          </w:tcPr>
          <w:p w:rsidR="00612088" w:rsidRPr="00EC4681" w:rsidRDefault="00171B1E" w:rsidP="000C5F54">
            <w:pPr>
              <w:jc w:val="center"/>
            </w:pPr>
            <w:r>
              <w:t>4438,2</w:t>
            </w:r>
          </w:p>
        </w:tc>
        <w:tc>
          <w:tcPr>
            <w:tcW w:w="0" w:type="auto"/>
          </w:tcPr>
          <w:p w:rsidR="00612088" w:rsidRPr="00EC4681" w:rsidRDefault="00171B1E" w:rsidP="007030B0">
            <w:pPr>
              <w:jc w:val="center"/>
            </w:pPr>
            <w:r>
              <w:t>90,9</w:t>
            </w:r>
          </w:p>
        </w:tc>
      </w:tr>
    </w:tbl>
    <w:p w:rsidR="00731C86" w:rsidRPr="00995DE0" w:rsidRDefault="00731C86" w:rsidP="008426F2">
      <w:r w:rsidRPr="00995DE0">
        <w:t xml:space="preserve"> </w:t>
      </w:r>
    </w:p>
    <w:p w:rsidR="000C1F34" w:rsidRDefault="000C1F34" w:rsidP="004B234B">
      <w:pPr>
        <w:jc w:val="both"/>
      </w:pPr>
      <w:r w:rsidRPr="00995DE0">
        <w:t xml:space="preserve">В </w:t>
      </w:r>
      <w:r w:rsidR="00D5790F" w:rsidRPr="00995DE0">
        <w:t xml:space="preserve">начале </w:t>
      </w:r>
      <w:r w:rsidR="000B78B9" w:rsidRPr="00995DE0">
        <w:t xml:space="preserve"> </w:t>
      </w:r>
      <w:r w:rsidRPr="00995DE0">
        <w:t>201</w:t>
      </w:r>
      <w:r w:rsidR="000B78B9" w:rsidRPr="00995DE0">
        <w:t>2 года</w:t>
      </w:r>
      <w:r w:rsidR="00AC2F21" w:rsidRPr="00995DE0">
        <w:t xml:space="preserve"> введен в эксплуатацию</w:t>
      </w:r>
      <w:r w:rsidRPr="00995DE0">
        <w:t xml:space="preserve"> Ледов</w:t>
      </w:r>
      <w:r w:rsidR="00AC2F21" w:rsidRPr="00995DE0">
        <w:t>ый</w:t>
      </w:r>
      <w:r w:rsidRPr="00995DE0">
        <w:t xml:space="preserve"> двор</w:t>
      </w:r>
      <w:r w:rsidR="00AC2F21" w:rsidRPr="00995DE0">
        <w:t>е</w:t>
      </w:r>
      <w:r w:rsidRPr="00995DE0">
        <w:t>ц в г. Валдае</w:t>
      </w:r>
      <w:r w:rsidR="00AC2F21" w:rsidRPr="00995DE0">
        <w:t>.</w:t>
      </w:r>
    </w:p>
    <w:p w:rsidR="007A6437" w:rsidRDefault="007A6437" w:rsidP="00EA27E0">
      <w:pPr>
        <w:jc w:val="center"/>
        <w:rPr>
          <w:b/>
        </w:rPr>
      </w:pPr>
    </w:p>
    <w:p w:rsidR="00E11D63" w:rsidRDefault="00E11D63" w:rsidP="00EA27E0">
      <w:pPr>
        <w:jc w:val="center"/>
      </w:pPr>
      <w:r w:rsidRPr="000C1F34">
        <w:rPr>
          <w:b/>
        </w:rPr>
        <w:t>СЕЛЬСКОЕ ХОЗЯЙСТВО</w:t>
      </w:r>
      <w:r w:rsidRPr="000C1F34">
        <w:t>.</w:t>
      </w:r>
    </w:p>
    <w:p w:rsidR="000A77CC" w:rsidRDefault="000A77CC" w:rsidP="00EA27E0">
      <w:pPr>
        <w:jc w:val="center"/>
      </w:pPr>
    </w:p>
    <w:p w:rsidR="00E11D63" w:rsidRDefault="00E11D63" w:rsidP="004B234B">
      <w:pPr>
        <w:jc w:val="both"/>
      </w:pPr>
      <w:r>
        <w:tab/>
        <w:t>Сельскохозяйственная отрасль в районе представлена 5 сельскохозяйственными предприятиями, 39 крестьянскими (фермерскими) хозяйствами и 5 подсобными хозя</w:t>
      </w:r>
      <w:r>
        <w:t>й</w:t>
      </w:r>
      <w:r>
        <w:t>ствами предприятий и организаций. В районе также насчитывается 4280 личных подсо</w:t>
      </w:r>
      <w:r>
        <w:t>б</w:t>
      </w:r>
      <w:r>
        <w:t>ных х</w:t>
      </w:r>
      <w:r>
        <w:t>о</w:t>
      </w:r>
      <w:r>
        <w:t>зяйств.</w:t>
      </w:r>
    </w:p>
    <w:p w:rsidR="00E11D63" w:rsidRDefault="00E11D63" w:rsidP="00E96386">
      <w:pPr>
        <w:jc w:val="center"/>
        <w:rPr>
          <w:b/>
        </w:rPr>
      </w:pPr>
    </w:p>
    <w:p w:rsidR="00E11D63" w:rsidRDefault="00E11D63" w:rsidP="00E96386">
      <w:pPr>
        <w:jc w:val="center"/>
        <w:rPr>
          <w:b/>
        </w:rPr>
      </w:pPr>
      <w:r w:rsidRPr="00E96386">
        <w:rPr>
          <w:b/>
        </w:rPr>
        <w:t xml:space="preserve">Поголовье скота </w:t>
      </w:r>
      <w:r>
        <w:rPr>
          <w:b/>
        </w:rPr>
        <w:t>и птицы (за январь-декабрь 2012</w:t>
      </w:r>
      <w:r w:rsidRPr="00E96386">
        <w:rPr>
          <w:b/>
        </w:rPr>
        <w:t xml:space="preserve"> года</w:t>
      </w:r>
      <w:r>
        <w:rPr>
          <w:b/>
        </w:rPr>
        <w:t>)</w:t>
      </w:r>
      <w:r w:rsidRPr="00E96386">
        <w:rPr>
          <w:b/>
        </w:rPr>
        <w:t>.</w:t>
      </w:r>
      <w:r>
        <w:rPr>
          <w:b/>
        </w:rPr>
        <w:t xml:space="preserve"> </w:t>
      </w:r>
    </w:p>
    <w:p w:rsidR="00E11D63" w:rsidRDefault="00E11D63" w:rsidP="00E9638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936"/>
        <w:gridCol w:w="1874"/>
      </w:tblGrid>
      <w:tr w:rsidR="00E11D63">
        <w:tc>
          <w:tcPr>
            <w:tcW w:w="0" w:type="auto"/>
          </w:tcPr>
          <w:p w:rsidR="00E11D63" w:rsidRDefault="00E11D63" w:rsidP="00E96386">
            <w:r>
              <w:t>Показатели</w:t>
            </w:r>
          </w:p>
        </w:tc>
        <w:tc>
          <w:tcPr>
            <w:tcW w:w="0" w:type="auto"/>
          </w:tcPr>
          <w:p w:rsidR="00E11D63" w:rsidRDefault="00E11D63" w:rsidP="00E96386">
            <w:r>
              <w:t>Голов</w:t>
            </w:r>
          </w:p>
        </w:tc>
        <w:tc>
          <w:tcPr>
            <w:tcW w:w="0" w:type="auto"/>
          </w:tcPr>
          <w:p w:rsidR="00E11D63" w:rsidRDefault="00E11D63" w:rsidP="0091267E">
            <w:r>
              <w:t>В % к 2011 г</w:t>
            </w:r>
            <w:r>
              <w:t>о</w:t>
            </w:r>
            <w:r>
              <w:t>ду</w:t>
            </w:r>
          </w:p>
        </w:tc>
      </w:tr>
      <w:tr w:rsidR="00E11D63">
        <w:tc>
          <w:tcPr>
            <w:tcW w:w="0" w:type="auto"/>
          </w:tcPr>
          <w:p w:rsidR="00E11D63" w:rsidRDefault="00E11D63" w:rsidP="00E96386">
            <w:r>
              <w:t>Крупный рогатый скот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center"/>
            </w:pPr>
            <w:r>
              <w:t>148</w:t>
            </w:r>
            <w:r w:rsidR="00F22F49">
              <w:t>3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center"/>
            </w:pPr>
            <w:r>
              <w:t>10</w:t>
            </w:r>
            <w:r w:rsidR="00F22F49">
              <w:t>5,9</w:t>
            </w:r>
          </w:p>
        </w:tc>
      </w:tr>
      <w:tr w:rsidR="00E11D63">
        <w:tc>
          <w:tcPr>
            <w:tcW w:w="0" w:type="auto"/>
          </w:tcPr>
          <w:p w:rsidR="00E11D63" w:rsidRDefault="00E11D63" w:rsidP="00E96386">
            <w:r>
              <w:t>В т.ч. коровы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center"/>
            </w:pPr>
            <w:r>
              <w:t>75</w:t>
            </w:r>
            <w:r w:rsidR="00F22F49">
              <w:t>4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center"/>
            </w:pPr>
            <w:r>
              <w:t>100,</w:t>
            </w:r>
            <w:r w:rsidR="00F22F49">
              <w:t>8</w:t>
            </w:r>
          </w:p>
        </w:tc>
      </w:tr>
      <w:tr w:rsidR="00E11D63">
        <w:tc>
          <w:tcPr>
            <w:tcW w:w="0" w:type="auto"/>
          </w:tcPr>
          <w:p w:rsidR="00E11D63" w:rsidRDefault="00E11D63" w:rsidP="00E96386">
            <w:r>
              <w:t>Свиньи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center"/>
            </w:pPr>
            <w:r>
              <w:t>620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center"/>
            </w:pPr>
            <w:r>
              <w:t>79,2</w:t>
            </w:r>
          </w:p>
        </w:tc>
      </w:tr>
      <w:tr w:rsidR="00E11D63">
        <w:tc>
          <w:tcPr>
            <w:tcW w:w="0" w:type="auto"/>
          </w:tcPr>
          <w:p w:rsidR="00E11D63" w:rsidRDefault="00E11D63" w:rsidP="00E96386">
            <w:r>
              <w:t>Овцы и козы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center"/>
            </w:pPr>
            <w:r>
              <w:t>9</w:t>
            </w:r>
            <w:r w:rsidR="00F22F49">
              <w:t>24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center"/>
            </w:pPr>
            <w:r>
              <w:t>10</w:t>
            </w:r>
            <w:r w:rsidR="00F22F49">
              <w:t>2,7</w:t>
            </w:r>
          </w:p>
        </w:tc>
      </w:tr>
      <w:tr w:rsidR="00E11D63">
        <w:tc>
          <w:tcPr>
            <w:tcW w:w="0" w:type="auto"/>
          </w:tcPr>
          <w:p w:rsidR="00E11D63" w:rsidRDefault="00E11D63" w:rsidP="00E96386">
            <w:r>
              <w:t>Птица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center"/>
            </w:pPr>
            <w:r>
              <w:t>887146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center"/>
            </w:pPr>
            <w:r>
              <w:t>133</w:t>
            </w:r>
          </w:p>
        </w:tc>
      </w:tr>
    </w:tbl>
    <w:p w:rsidR="00E11D63" w:rsidRDefault="00E11D63" w:rsidP="00585CE8">
      <w:pPr>
        <w:jc w:val="both"/>
      </w:pPr>
      <w:r>
        <w:t xml:space="preserve"> </w:t>
      </w:r>
    </w:p>
    <w:p w:rsidR="00E11D63" w:rsidRDefault="00E11D63" w:rsidP="00585CE8">
      <w:pPr>
        <w:jc w:val="both"/>
      </w:pPr>
      <w:r>
        <w:t xml:space="preserve">            В связи с угрозой распространения вируса африканской чумы свиней и введением карантинных мероприятий на территории района,  во всех категориях хозяйств сократ</w:t>
      </w:r>
      <w:r>
        <w:t>и</w:t>
      </w:r>
      <w:r>
        <w:t>лось поголовье свиней. В то же время увеличилось поголовье птицы на откорме, в ЛПХ на 104,4%, в подсобных предприятиях в 4,7 раза, в К(Ф)Х на 129,8%, в сельскохозяйстве</w:t>
      </w:r>
      <w:r>
        <w:t>н</w:t>
      </w:r>
      <w:r>
        <w:t>ных организациях на 132%.</w:t>
      </w:r>
    </w:p>
    <w:p w:rsidR="00E11D63" w:rsidRDefault="00E11D63" w:rsidP="00585CE8">
      <w:pPr>
        <w:jc w:val="both"/>
      </w:pPr>
    </w:p>
    <w:p w:rsidR="00E11D63" w:rsidRPr="006773B9" w:rsidRDefault="00E11D63" w:rsidP="006773B9">
      <w:pPr>
        <w:jc w:val="center"/>
        <w:rPr>
          <w:b/>
        </w:rPr>
      </w:pPr>
      <w:r w:rsidRPr="006773B9">
        <w:rPr>
          <w:b/>
        </w:rPr>
        <w:t>Производство основных видов животноводства в январе</w:t>
      </w:r>
      <w:r>
        <w:rPr>
          <w:b/>
        </w:rPr>
        <w:t xml:space="preserve"> </w:t>
      </w:r>
      <w:r w:rsidRPr="006773B9">
        <w:rPr>
          <w:b/>
        </w:rPr>
        <w:t>-</w:t>
      </w:r>
      <w:r>
        <w:rPr>
          <w:b/>
        </w:rPr>
        <w:t xml:space="preserve"> декабре</w:t>
      </w:r>
      <w:r w:rsidRPr="006773B9">
        <w:rPr>
          <w:b/>
        </w:rPr>
        <w:t xml:space="preserve"> 201</w:t>
      </w:r>
      <w:r>
        <w:rPr>
          <w:b/>
        </w:rPr>
        <w:t>2</w:t>
      </w:r>
      <w:r w:rsidRPr="006773B9">
        <w:rPr>
          <w:b/>
        </w:rPr>
        <w:t xml:space="preserve"> года во всех</w:t>
      </w:r>
      <w:r>
        <w:rPr>
          <w:b/>
        </w:rPr>
        <w:t xml:space="preserve">  </w:t>
      </w:r>
      <w:r w:rsidRPr="006773B9">
        <w:rPr>
          <w:b/>
        </w:rPr>
        <w:t xml:space="preserve"> х</w:t>
      </w:r>
      <w:r w:rsidRPr="006773B9">
        <w:rPr>
          <w:b/>
        </w:rPr>
        <w:t>о</w:t>
      </w:r>
      <w:r w:rsidRPr="006773B9">
        <w:rPr>
          <w:b/>
        </w:rPr>
        <w:t xml:space="preserve">зяйствах района </w:t>
      </w:r>
    </w:p>
    <w:p w:rsidR="00E11D63" w:rsidRDefault="00E11D63" w:rsidP="00585CE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5"/>
        <w:gridCol w:w="1097"/>
        <w:gridCol w:w="1411"/>
      </w:tblGrid>
      <w:tr w:rsidR="00E11D63"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Показатели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2012 год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.в.</w:t>
            </w:r>
          </w:p>
          <w:p w:rsidR="00E11D63" w:rsidRDefault="00E11D63" w:rsidP="0091267E">
            <w:pPr>
              <w:jc w:val="both"/>
            </w:pPr>
            <w:r>
              <w:t xml:space="preserve"> % к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</w:t>
            </w:r>
          </w:p>
        </w:tc>
      </w:tr>
      <w:tr w:rsidR="00E11D63">
        <w:tc>
          <w:tcPr>
            <w:tcW w:w="0" w:type="auto"/>
          </w:tcPr>
          <w:p w:rsidR="00E11D63" w:rsidRPr="0038249F" w:rsidRDefault="00E11D63" w:rsidP="0091267E">
            <w:pPr>
              <w:jc w:val="both"/>
              <w:rPr>
                <w:b/>
              </w:rPr>
            </w:pPr>
            <w:r w:rsidRPr="0038249F">
              <w:rPr>
                <w:b/>
              </w:rPr>
              <w:t>МЯСО ( скот и птица на убой в живом в</w:t>
            </w:r>
            <w:r w:rsidRPr="0038249F">
              <w:rPr>
                <w:b/>
              </w:rPr>
              <w:t>е</w:t>
            </w:r>
            <w:r w:rsidRPr="0038249F">
              <w:rPr>
                <w:b/>
              </w:rPr>
              <w:t>се), тонн</w:t>
            </w:r>
          </w:p>
        </w:tc>
        <w:tc>
          <w:tcPr>
            <w:tcW w:w="0" w:type="auto"/>
          </w:tcPr>
          <w:p w:rsidR="00E11D63" w:rsidRPr="0038249F" w:rsidRDefault="00E11D63" w:rsidP="0091267E">
            <w:pPr>
              <w:jc w:val="both"/>
              <w:rPr>
                <w:b/>
              </w:rPr>
            </w:pPr>
            <w:r>
              <w:rPr>
                <w:b/>
              </w:rPr>
              <w:t>920</w:t>
            </w:r>
            <w:r w:rsidR="00F22F49">
              <w:rPr>
                <w:b/>
              </w:rPr>
              <w:t>3,4</w:t>
            </w:r>
          </w:p>
        </w:tc>
        <w:tc>
          <w:tcPr>
            <w:tcW w:w="0" w:type="auto"/>
          </w:tcPr>
          <w:p w:rsidR="00E11D63" w:rsidRPr="0038249F" w:rsidRDefault="00E11D63" w:rsidP="0091267E">
            <w:pPr>
              <w:jc w:val="both"/>
              <w:rPr>
                <w:b/>
              </w:rPr>
            </w:pPr>
            <w:r>
              <w:rPr>
                <w:b/>
              </w:rPr>
              <w:t>80,3</w:t>
            </w:r>
          </w:p>
        </w:tc>
      </w:tr>
      <w:tr w:rsidR="00E11D63"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Сельхозорганизации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88</w:t>
            </w:r>
            <w:r w:rsidR="00F22F49">
              <w:t>79,6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79,4</w:t>
            </w:r>
          </w:p>
        </w:tc>
      </w:tr>
      <w:tr w:rsidR="00E11D63"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Хозяйства населения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23</w:t>
            </w:r>
            <w:r w:rsidR="00F22F49">
              <w:t>2,4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9</w:t>
            </w:r>
            <w:r w:rsidR="00F22F49">
              <w:t>3,0</w:t>
            </w:r>
          </w:p>
        </w:tc>
      </w:tr>
      <w:tr w:rsidR="00E11D63"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Крестьянские хозяйства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91,</w:t>
            </w:r>
            <w:r w:rsidR="00F22F49">
              <w:t>4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3,5 р</w:t>
            </w:r>
          </w:p>
        </w:tc>
      </w:tr>
      <w:tr w:rsidR="00E11D63">
        <w:tc>
          <w:tcPr>
            <w:tcW w:w="0" w:type="auto"/>
          </w:tcPr>
          <w:p w:rsidR="00E11D63" w:rsidRPr="0038249F" w:rsidRDefault="00E11D63" w:rsidP="0091267E">
            <w:pPr>
              <w:jc w:val="both"/>
              <w:rPr>
                <w:b/>
              </w:rPr>
            </w:pPr>
            <w:r w:rsidRPr="0038249F">
              <w:rPr>
                <w:b/>
              </w:rPr>
              <w:t>МОЛОКО, тонн</w:t>
            </w:r>
          </w:p>
        </w:tc>
        <w:tc>
          <w:tcPr>
            <w:tcW w:w="0" w:type="auto"/>
          </w:tcPr>
          <w:p w:rsidR="00E11D63" w:rsidRPr="0038249F" w:rsidRDefault="00E11D63" w:rsidP="0091267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F22F49">
              <w:rPr>
                <w:b/>
              </w:rPr>
              <w:t>186,0</w:t>
            </w:r>
          </w:p>
        </w:tc>
        <w:tc>
          <w:tcPr>
            <w:tcW w:w="0" w:type="auto"/>
          </w:tcPr>
          <w:p w:rsidR="00E11D63" w:rsidRPr="0038249F" w:rsidRDefault="00E11D63" w:rsidP="0091267E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F22F49">
              <w:rPr>
                <w:b/>
              </w:rPr>
              <w:t>5,9</w:t>
            </w:r>
          </w:p>
        </w:tc>
      </w:tr>
      <w:tr w:rsidR="00E11D63"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Сельхозорганизации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1044,7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82,4</w:t>
            </w:r>
          </w:p>
        </w:tc>
      </w:tr>
      <w:tr w:rsidR="00E11D63"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Хозяйства населения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148</w:t>
            </w:r>
            <w:r w:rsidR="00F22F49">
              <w:t>1,3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9</w:t>
            </w:r>
            <w:r w:rsidR="00F22F49">
              <w:t>6,</w:t>
            </w:r>
            <w:r>
              <w:t>7</w:t>
            </w:r>
          </w:p>
        </w:tc>
      </w:tr>
      <w:tr w:rsidR="00E11D63"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lastRenderedPageBreak/>
              <w:t>Крестьянские хозяйства</w:t>
            </w:r>
          </w:p>
        </w:tc>
        <w:tc>
          <w:tcPr>
            <w:tcW w:w="0" w:type="auto"/>
          </w:tcPr>
          <w:p w:rsidR="00E11D63" w:rsidRDefault="00F22F49" w:rsidP="0091267E">
            <w:pPr>
              <w:jc w:val="both"/>
            </w:pPr>
            <w:r>
              <w:t>660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3,</w:t>
            </w:r>
            <w:r w:rsidR="00F22F49">
              <w:t>2</w:t>
            </w:r>
            <w:r>
              <w:t xml:space="preserve"> р</w:t>
            </w:r>
          </w:p>
        </w:tc>
      </w:tr>
      <w:tr w:rsidR="00E11D63">
        <w:tc>
          <w:tcPr>
            <w:tcW w:w="0" w:type="auto"/>
          </w:tcPr>
          <w:p w:rsidR="00E11D63" w:rsidRPr="00DC561D" w:rsidRDefault="00E11D63" w:rsidP="0091267E">
            <w:pPr>
              <w:jc w:val="both"/>
              <w:rPr>
                <w:b/>
              </w:rPr>
            </w:pPr>
            <w:r>
              <w:rPr>
                <w:b/>
              </w:rPr>
              <w:t>ЯЙЦО, тысяч штук</w:t>
            </w:r>
          </w:p>
        </w:tc>
        <w:tc>
          <w:tcPr>
            <w:tcW w:w="0" w:type="auto"/>
          </w:tcPr>
          <w:p w:rsidR="00E11D63" w:rsidRPr="00DC561D" w:rsidRDefault="00E11D63" w:rsidP="0091267E">
            <w:pPr>
              <w:jc w:val="both"/>
              <w:rPr>
                <w:b/>
              </w:rPr>
            </w:pPr>
            <w:r>
              <w:rPr>
                <w:b/>
              </w:rPr>
              <w:t>464</w:t>
            </w:r>
            <w:r w:rsidR="00F22F49">
              <w:rPr>
                <w:b/>
              </w:rPr>
              <w:t>40</w:t>
            </w:r>
          </w:p>
        </w:tc>
        <w:tc>
          <w:tcPr>
            <w:tcW w:w="0" w:type="auto"/>
          </w:tcPr>
          <w:p w:rsidR="00E11D63" w:rsidRPr="00DC561D" w:rsidRDefault="00E11D63" w:rsidP="0091267E">
            <w:pPr>
              <w:jc w:val="both"/>
              <w:rPr>
                <w:b/>
              </w:rPr>
            </w:pPr>
            <w:r>
              <w:rPr>
                <w:b/>
              </w:rPr>
              <w:t>51,4 р</w:t>
            </w:r>
          </w:p>
        </w:tc>
      </w:tr>
      <w:tr w:rsidR="00E11D63"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Сельхозорганизации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45</w:t>
            </w:r>
            <w:r w:rsidR="00F22F49">
              <w:t>678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64</w:t>
            </w:r>
            <w:r w:rsidR="00F22F49">
              <w:t>3</w:t>
            </w:r>
            <w:r>
              <w:t>,4 р</w:t>
            </w:r>
          </w:p>
        </w:tc>
      </w:tr>
      <w:tr w:rsidR="00E11D63"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Хозяйства населения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6</w:t>
            </w:r>
            <w:r w:rsidR="00F22F49">
              <w:t>5</w:t>
            </w:r>
            <w:r>
              <w:t>0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9</w:t>
            </w:r>
            <w:r w:rsidR="00F22F49">
              <w:t>6,7</w:t>
            </w:r>
          </w:p>
        </w:tc>
      </w:tr>
      <w:tr w:rsidR="00E11D63"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Крестьянские хозяйства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112</w:t>
            </w:r>
          </w:p>
        </w:tc>
        <w:tc>
          <w:tcPr>
            <w:tcW w:w="0" w:type="auto"/>
          </w:tcPr>
          <w:p w:rsidR="00E11D63" w:rsidRDefault="00E11D63" w:rsidP="0091267E">
            <w:pPr>
              <w:jc w:val="both"/>
            </w:pPr>
            <w:r>
              <w:t>69,</w:t>
            </w:r>
            <w:r w:rsidR="00F22F49">
              <w:t>9</w:t>
            </w:r>
          </w:p>
        </w:tc>
      </w:tr>
    </w:tbl>
    <w:p w:rsidR="00E11D63" w:rsidRDefault="00E11D63" w:rsidP="00585CE8">
      <w:pPr>
        <w:jc w:val="both"/>
      </w:pPr>
      <w:r>
        <w:t xml:space="preserve"> </w:t>
      </w:r>
    </w:p>
    <w:p w:rsidR="00E11D63" w:rsidRDefault="00E11D63" w:rsidP="00585CE8">
      <w:pPr>
        <w:jc w:val="both"/>
      </w:pPr>
      <w:r>
        <w:t xml:space="preserve">           Производство мяса на убой сократилось почти на 20%. Основные производители мяса в Валдайском районе «Птицефабрика Новгородская» Обособленное Подразделение «Валдай», но в связи с нарушением технологического процесса – недопоставки инкубир</w:t>
      </w:r>
      <w:r>
        <w:t>о</w:t>
      </w:r>
      <w:r>
        <w:t>ванного яйца во втором квартале текущего года, произошло снижение поголовья птицы на откорме, а отсюда и  резкий спад производства м</w:t>
      </w:r>
      <w:r>
        <w:t>я</w:t>
      </w:r>
      <w:r>
        <w:t>са.</w:t>
      </w:r>
    </w:p>
    <w:p w:rsidR="00E11D63" w:rsidRDefault="00E11D63" w:rsidP="00585CE8">
      <w:pPr>
        <w:jc w:val="both"/>
      </w:pPr>
      <w:r>
        <w:tab/>
        <w:t>В молочном животноводстве надой на 1 фуражную корову составил в отчётном п</w:t>
      </w:r>
      <w:r>
        <w:t>е</w:t>
      </w:r>
      <w:r>
        <w:t xml:space="preserve">риоде </w:t>
      </w:r>
      <w:smartTag w:uri="urn:schemas-microsoft-com:office:smarttags" w:element="metricconverter">
        <w:smartTagPr>
          <w:attr w:name="ProductID" w:val="3160 кг"/>
        </w:smartTagPr>
        <w:r>
          <w:t>3160 кг</w:t>
        </w:r>
      </w:smartTag>
      <w:r>
        <w:t xml:space="preserve">. (102,6% к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.), в т.ч.</w:t>
      </w:r>
    </w:p>
    <w:p w:rsidR="00E11D63" w:rsidRDefault="00E11D63" w:rsidP="00585CE8">
      <w:pPr>
        <w:jc w:val="both"/>
      </w:pPr>
      <w:r>
        <w:t xml:space="preserve">СПК «Валдайский - </w:t>
      </w:r>
      <w:smartTag w:uri="urn:schemas-microsoft-com:office:smarttags" w:element="metricconverter">
        <w:smartTagPr>
          <w:attr w:name="ProductID" w:val="3050 кг"/>
        </w:smartTagPr>
        <w:r>
          <w:t>3050 кг</w:t>
        </w:r>
      </w:smartTag>
      <w:r>
        <w:t xml:space="preserve">. (91,4% к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</w:t>
      </w:r>
    </w:p>
    <w:p w:rsidR="00E11D63" w:rsidRDefault="00E11D63" w:rsidP="00585CE8">
      <w:pPr>
        <w:jc w:val="both"/>
      </w:pPr>
      <w:r>
        <w:t xml:space="preserve">СПК «Любница» - </w:t>
      </w:r>
      <w:smartTag w:uri="urn:schemas-microsoft-com:office:smarttags" w:element="metricconverter">
        <w:smartTagPr>
          <w:attr w:name="ProductID" w:val="3196 кг"/>
        </w:smartTagPr>
        <w:r>
          <w:t>3196 кг</w:t>
        </w:r>
      </w:smartTag>
      <w:r>
        <w:t xml:space="preserve">. (100,9% к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</w:t>
      </w:r>
    </w:p>
    <w:p w:rsidR="00E11D63" w:rsidRDefault="00E11D63" w:rsidP="00585CE8">
      <w:pPr>
        <w:jc w:val="both"/>
      </w:pPr>
      <w:r>
        <w:tab/>
        <w:t>По итогам работы за 2012 года 3 сельскохозяйственных предприятия убыто</w:t>
      </w:r>
      <w:r>
        <w:t>ч</w:t>
      </w:r>
      <w:r>
        <w:t>ны, 2 имеет положительный финансовый резул</w:t>
      </w:r>
      <w:r>
        <w:t>ь</w:t>
      </w:r>
      <w:r>
        <w:t>тат.</w:t>
      </w:r>
    </w:p>
    <w:p w:rsidR="00E11D63" w:rsidRDefault="00E11D63" w:rsidP="00585CE8">
      <w:pPr>
        <w:jc w:val="both"/>
      </w:pPr>
      <w:r>
        <w:tab/>
        <w:t>В районе работал один пункт по закупке молока в индивидуальном секторе. Заку</w:t>
      </w:r>
      <w:r>
        <w:t>п</w:t>
      </w:r>
      <w:r>
        <w:t>лено 4,4 тонны молока. Средняя закупочная цена составила 10 руб. за литр.</w:t>
      </w:r>
    </w:p>
    <w:p w:rsidR="00E11D63" w:rsidRDefault="00E11D63" w:rsidP="00585CE8">
      <w:pPr>
        <w:jc w:val="both"/>
      </w:pPr>
      <w:r>
        <w:tab/>
        <w:t xml:space="preserve">Переработкой молока и выпуском молочной продукции занимается Любницкий молочный завод. Переработано 541,1 тонны молока ( 94,1 % к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.). Выпущено 139,8 тонны пастеризованного молока (96,7%), сметаны 15,6 тонны ( 106,1%), творога 52,9 тонн   ( 98,5%), масла сливочного 6,2 тонны (69,7%). Вся продукция реализована населению района и  на рынке г. Великий Новгород.</w:t>
      </w:r>
    </w:p>
    <w:p w:rsidR="00E11D63" w:rsidRDefault="00E11D63" w:rsidP="00585CE8">
      <w:pPr>
        <w:jc w:val="both"/>
      </w:pPr>
    </w:p>
    <w:p w:rsidR="00E11D63" w:rsidRPr="006773B9" w:rsidRDefault="00E11D63" w:rsidP="0091267E">
      <w:pPr>
        <w:jc w:val="center"/>
        <w:rPr>
          <w:b/>
        </w:rPr>
      </w:pPr>
      <w:r w:rsidRPr="006773B9">
        <w:rPr>
          <w:b/>
        </w:rPr>
        <w:t>Производство сельскохозяйственной продукции в подсобных хозяйствах предпри</w:t>
      </w:r>
      <w:r w:rsidRPr="006773B9">
        <w:rPr>
          <w:b/>
        </w:rPr>
        <w:t>я</w:t>
      </w:r>
      <w:r w:rsidRPr="006773B9">
        <w:rPr>
          <w:b/>
        </w:rPr>
        <w:t>тий и организаций.</w:t>
      </w:r>
    </w:p>
    <w:p w:rsidR="00E11D63" w:rsidRDefault="00E11D63" w:rsidP="00062B3A">
      <w:pPr>
        <w:jc w:val="right"/>
      </w:pPr>
      <w:r>
        <w:t xml:space="preserve">                                                     центнер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825"/>
        <w:gridCol w:w="825"/>
        <w:gridCol w:w="1248"/>
        <w:gridCol w:w="866"/>
        <w:gridCol w:w="866"/>
        <w:gridCol w:w="1248"/>
      </w:tblGrid>
      <w:tr w:rsidR="00E11D63">
        <w:tc>
          <w:tcPr>
            <w:tcW w:w="0" w:type="auto"/>
          </w:tcPr>
          <w:p w:rsidR="00E11D63" w:rsidRDefault="00E11D63" w:rsidP="00526C07">
            <w:r>
              <w:t>Подсобные хозяйства</w:t>
            </w:r>
          </w:p>
        </w:tc>
        <w:tc>
          <w:tcPr>
            <w:tcW w:w="0" w:type="auto"/>
            <w:gridSpan w:val="3"/>
          </w:tcPr>
          <w:p w:rsidR="00E11D63" w:rsidRDefault="00E11D63" w:rsidP="0091267E">
            <w:pPr>
              <w:jc w:val="center"/>
            </w:pPr>
            <w:r>
              <w:t>Молоко</w:t>
            </w:r>
          </w:p>
        </w:tc>
        <w:tc>
          <w:tcPr>
            <w:tcW w:w="0" w:type="auto"/>
            <w:gridSpan w:val="3"/>
          </w:tcPr>
          <w:p w:rsidR="00E11D63" w:rsidRDefault="00E11D63" w:rsidP="0091267E">
            <w:pPr>
              <w:jc w:val="center"/>
            </w:pPr>
            <w:r>
              <w:t>Мясо</w:t>
            </w:r>
          </w:p>
        </w:tc>
      </w:tr>
      <w:tr w:rsidR="00E11D63">
        <w:tc>
          <w:tcPr>
            <w:tcW w:w="0" w:type="auto"/>
          </w:tcPr>
          <w:p w:rsidR="00E11D63" w:rsidRDefault="00E11D63" w:rsidP="00526C07"/>
        </w:tc>
        <w:tc>
          <w:tcPr>
            <w:tcW w:w="0" w:type="auto"/>
          </w:tcPr>
          <w:p w:rsidR="00E11D63" w:rsidRDefault="00E11D63" w:rsidP="0091267E">
            <w:r>
              <w:t>2012 год</w:t>
            </w:r>
          </w:p>
        </w:tc>
        <w:tc>
          <w:tcPr>
            <w:tcW w:w="0" w:type="auto"/>
          </w:tcPr>
          <w:p w:rsidR="00E11D63" w:rsidRDefault="00E11D63" w:rsidP="0091267E">
            <w:r>
              <w:t>2011 год</w:t>
            </w:r>
          </w:p>
        </w:tc>
        <w:tc>
          <w:tcPr>
            <w:tcW w:w="0" w:type="auto"/>
          </w:tcPr>
          <w:p w:rsidR="00E11D63" w:rsidRDefault="00E11D63" w:rsidP="0091267E"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в % к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  <w:tc>
          <w:tcPr>
            <w:tcW w:w="0" w:type="auto"/>
          </w:tcPr>
          <w:p w:rsidR="00E11D63" w:rsidRDefault="00E11D63" w:rsidP="0091267E">
            <w:r>
              <w:t>2012 год</w:t>
            </w:r>
          </w:p>
        </w:tc>
        <w:tc>
          <w:tcPr>
            <w:tcW w:w="0" w:type="auto"/>
          </w:tcPr>
          <w:p w:rsidR="00E11D63" w:rsidRDefault="00E11D63" w:rsidP="0091267E">
            <w:r>
              <w:t>2011 год</w:t>
            </w:r>
          </w:p>
        </w:tc>
        <w:tc>
          <w:tcPr>
            <w:tcW w:w="0" w:type="auto"/>
          </w:tcPr>
          <w:p w:rsidR="00E11D63" w:rsidRDefault="00E11D63" w:rsidP="0091267E"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в % к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</w:t>
            </w:r>
          </w:p>
        </w:tc>
      </w:tr>
      <w:tr w:rsidR="00E11D63">
        <w:tc>
          <w:tcPr>
            <w:tcW w:w="0" w:type="auto"/>
          </w:tcPr>
          <w:p w:rsidR="00E11D63" w:rsidRDefault="00E11D63" w:rsidP="00526C07">
            <w:r>
              <w:t>ГОУЗ «Валдайская психоневр</w:t>
            </w:r>
            <w:r>
              <w:t>о</w:t>
            </w:r>
            <w:r>
              <w:t>логическая бол</w:t>
            </w:r>
            <w:r>
              <w:t>ь</w:t>
            </w:r>
            <w:r>
              <w:t>ница №1»</w:t>
            </w:r>
          </w:p>
        </w:tc>
        <w:tc>
          <w:tcPr>
            <w:tcW w:w="0" w:type="auto"/>
          </w:tcPr>
          <w:p w:rsidR="00E11D63" w:rsidRDefault="00E11D63" w:rsidP="0091267E">
            <w:r>
              <w:t>657</w:t>
            </w:r>
          </w:p>
        </w:tc>
        <w:tc>
          <w:tcPr>
            <w:tcW w:w="0" w:type="auto"/>
          </w:tcPr>
          <w:p w:rsidR="00E11D63" w:rsidRDefault="00E11D63" w:rsidP="0091267E">
            <w:r>
              <w:t>625</w:t>
            </w:r>
          </w:p>
        </w:tc>
        <w:tc>
          <w:tcPr>
            <w:tcW w:w="0" w:type="auto"/>
          </w:tcPr>
          <w:p w:rsidR="00E11D63" w:rsidRDefault="00E11D63" w:rsidP="0091267E">
            <w:r>
              <w:t>105</w:t>
            </w:r>
          </w:p>
        </w:tc>
        <w:tc>
          <w:tcPr>
            <w:tcW w:w="0" w:type="auto"/>
          </w:tcPr>
          <w:p w:rsidR="00E11D63" w:rsidRDefault="00E11D63" w:rsidP="0091267E">
            <w:r>
              <w:t>51,5</w:t>
            </w:r>
          </w:p>
        </w:tc>
        <w:tc>
          <w:tcPr>
            <w:tcW w:w="0" w:type="auto"/>
          </w:tcPr>
          <w:p w:rsidR="00E11D63" w:rsidRDefault="00E11D63" w:rsidP="0091267E">
            <w:r>
              <w:t>17,5</w:t>
            </w:r>
          </w:p>
        </w:tc>
        <w:tc>
          <w:tcPr>
            <w:tcW w:w="0" w:type="auto"/>
          </w:tcPr>
          <w:p w:rsidR="00E11D63" w:rsidRDefault="00E11D63" w:rsidP="0091267E">
            <w:r>
              <w:t>2,9 р</w:t>
            </w:r>
          </w:p>
        </w:tc>
      </w:tr>
      <w:tr w:rsidR="00E11D63">
        <w:tc>
          <w:tcPr>
            <w:tcW w:w="0" w:type="auto"/>
          </w:tcPr>
          <w:p w:rsidR="00E11D63" w:rsidRDefault="00E11D63" w:rsidP="00526C07">
            <w:r>
              <w:t>ФКУ ИК-4</w:t>
            </w:r>
          </w:p>
        </w:tc>
        <w:tc>
          <w:tcPr>
            <w:tcW w:w="0" w:type="auto"/>
          </w:tcPr>
          <w:p w:rsidR="00E11D63" w:rsidRDefault="00E11D63" w:rsidP="0091267E">
            <w:r>
              <w:t>199</w:t>
            </w:r>
          </w:p>
        </w:tc>
        <w:tc>
          <w:tcPr>
            <w:tcW w:w="0" w:type="auto"/>
          </w:tcPr>
          <w:p w:rsidR="00E11D63" w:rsidRDefault="00E11D63" w:rsidP="0091267E">
            <w:r>
              <w:t>198</w:t>
            </w:r>
          </w:p>
        </w:tc>
        <w:tc>
          <w:tcPr>
            <w:tcW w:w="0" w:type="auto"/>
          </w:tcPr>
          <w:p w:rsidR="00E11D63" w:rsidRDefault="00E11D63" w:rsidP="0091267E">
            <w:r>
              <w:t>100,5</w:t>
            </w:r>
          </w:p>
        </w:tc>
        <w:tc>
          <w:tcPr>
            <w:tcW w:w="0" w:type="auto"/>
          </w:tcPr>
          <w:p w:rsidR="00E11D63" w:rsidRDefault="00E11D63" w:rsidP="0091267E">
            <w:r>
              <w:t>180,9</w:t>
            </w:r>
          </w:p>
        </w:tc>
        <w:tc>
          <w:tcPr>
            <w:tcW w:w="0" w:type="auto"/>
          </w:tcPr>
          <w:p w:rsidR="00E11D63" w:rsidRDefault="00E11D63" w:rsidP="0091267E">
            <w:r>
              <w:t>116</w:t>
            </w:r>
          </w:p>
        </w:tc>
        <w:tc>
          <w:tcPr>
            <w:tcW w:w="0" w:type="auto"/>
          </w:tcPr>
          <w:p w:rsidR="00E11D63" w:rsidRDefault="00E11D63" w:rsidP="0091267E">
            <w:r>
              <w:t>156</w:t>
            </w:r>
          </w:p>
        </w:tc>
      </w:tr>
      <w:tr w:rsidR="00E11D63">
        <w:tc>
          <w:tcPr>
            <w:tcW w:w="0" w:type="auto"/>
          </w:tcPr>
          <w:p w:rsidR="00E11D63" w:rsidRDefault="00E11D63" w:rsidP="00526C07">
            <w:r>
              <w:t>ПНИ «Приозёрный»</w:t>
            </w:r>
          </w:p>
        </w:tc>
        <w:tc>
          <w:tcPr>
            <w:tcW w:w="0" w:type="auto"/>
          </w:tcPr>
          <w:p w:rsidR="00E11D63" w:rsidRDefault="00E11D63" w:rsidP="0091267E">
            <w:r>
              <w:t>435</w:t>
            </w:r>
          </w:p>
        </w:tc>
        <w:tc>
          <w:tcPr>
            <w:tcW w:w="0" w:type="auto"/>
          </w:tcPr>
          <w:p w:rsidR="00E11D63" w:rsidRDefault="00E11D63" w:rsidP="0091267E">
            <w:r>
              <w:t>465</w:t>
            </w:r>
          </w:p>
        </w:tc>
        <w:tc>
          <w:tcPr>
            <w:tcW w:w="0" w:type="auto"/>
          </w:tcPr>
          <w:p w:rsidR="00E11D63" w:rsidRDefault="00E11D63" w:rsidP="0091267E">
            <w:r>
              <w:t>93,5</w:t>
            </w:r>
          </w:p>
        </w:tc>
        <w:tc>
          <w:tcPr>
            <w:tcW w:w="0" w:type="auto"/>
          </w:tcPr>
          <w:p w:rsidR="00E11D63" w:rsidRDefault="00E11D63" w:rsidP="0091267E">
            <w:r>
              <w:t>83</w:t>
            </w:r>
          </w:p>
        </w:tc>
        <w:tc>
          <w:tcPr>
            <w:tcW w:w="0" w:type="auto"/>
          </w:tcPr>
          <w:p w:rsidR="00E11D63" w:rsidRDefault="00E11D63" w:rsidP="0091267E">
            <w:r>
              <w:t>107,1</w:t>
            </w:r>
          </w:p>
        </w:tc>
        <w:tc>
          <w:tcPr>
            <w:tcW w:w="0" w:type="auto"/>
          </w:tcPr>
          <w:p w:rsidR="00E11D63" w:rsidRDefault="00E11D63" w:rsidP="0091267E">
            <w:r>
              <w:t>77,5</w:t>
            </w:r>
          </w:p>
        </w:tc>
      </w:tr>
      <w:tr w:rsidR="00E11D63">
        <w:tc>
          <w:tcPr>
            <w:tcW w:w="0" w:type="auto"/>
          </w:tcPr>
          <w:p w:rsidR="00E11D63" w:rsidRDefault="00E11D63" w:rsidP="00526C07">
            <w:r>
              <w:t>ПНИ «Добывалово»</w:t>
            </w:r>
          </w:p>
        </w:tc>
        <w:tc>
          <w:tcPr>
            <w:tcW w:w="0" w:type="auto"/>
          </w:tcPr>
          <w:p w:rsidR="00E11D63" w:rsidRDefault="00E11D63" w:rsidP="0091267E"/>
        </w:tc>
        <w:tc>
          <w:tcPr>
            <w:tcW w:w="0" w:type="auto"/>
          </w:tcPr>
          <w:p w:rsidR="00E11D63" w:rsidRDefault="00E11D63" w:rsidP="0091267E">
            <w:r>
              <w:t>312</w:t>
            </w:r>
          </w:p>
        </w:tc>
        <w:tc>
          <w:tcPr>
            <w:tcW w:w="0" w:type="auto"/>
          </w:tcPr>
          <w:p w:rsidR="00E11D63" w:rsidRDefault="00E11D63" w:rsidP="0091267E">
            <w:r>
              <w:t>-</w:t>
            </w:r>
          </w:p>
        </w:tc>
        <w:tc>
          <w:tcPr>
            <w:tcW w:w="0" w:type="auto"/>
          </w:tcPr>
          <w:p w:rsidR="00E11D63" w:rsidRDefault="00E11D63" w:rsidP="0091267E"/>
        </w:tc>
        <w:tc>
          <w:tcPr>
            <w:tcW w:w="0" w:type="auto"/>
          </w:tcPr>
          <w:p w:rsidR="00E11D63" w:rsidRDefault="00E11D63" w:rsidP="0091267E">
            <w:r>
              <w:t>71</w:t>
            </w:r>
          </w:p>
        </w:tc>
        <w:tc>
          <w:tcPr>
            <w:tcW w:w="0" w:type="auto"/>
          </w:tcPr>
          <w:p w:rsidR="00E11D63" w:rsidRDefault="00E11D63" w:rsidP="0091267E">
            <w:r>
              <w:t>-</w:t>
            </w:r>
          </w:p>
        </w:tc>
      </w:tr>
      <w:tr w:rsidR="00E11D63">
        <w:tc>
          <w:tcPr>
            <w:tcW w:w="0" w:type="auto"/>
          </w:tcPr>
          <w:p w:rsidR="00E11D63" w:rsidRDefault="00E11D63" w:rsidP="00526C07">
            <w:r>
              <w:t>Подворье «Быково»</w:t>
            </w:r>
          </w:p>
        </w:tc>
        <w:tc>
          <w:tcPr>
            <w:tcW w:w="0" w:type="auto"/>
          </w:tcPr>
          <w:p w:rsidR="00E11D63" w:rsidRDefault="00E11D63" w:rsidP="0091267E">
            <w:r>
              <w:t>1128</w:t>
            </w:r>
          </w:p>
        </w:tc>
        <w:tc>
          <w:tcPr>
            <w:tcW w:w="0" w:type="auto"/>
          </w:tcPr>
          <w:p w:rsidR="00E11D63" w:rsidRDefault="00E11D63" w:rsidP="00526C07">
            <w:r>
              <w:t>998</w:t>
            </w:r>
          </w:p>
        </w:tc>
        <w:tc>
          <w:tcPr>
            <w:tcW w:w="0" w:type="auto"/>
          </w:tcPr>
          <w:p w:rsidR="00E11D63" w:rsidRDefault="00E11D63" w:rsidP="00526C07">
            <w:r>
              <w:t>113</w:t>
            </w:r>
          </w:p>
        </w:tc>
        <w:tc>
          <w:tcPr>
            <w:tcW w:w="0" w:type="auto"/>
          </w:tcPr>
          <w:p w:rsidR="00E11D63" w:rsidRDefault="00E11D63" w:rsidP="0091267E">
            <w:r>
              <w:t>135</w:t>
            </w:r>
          </w:p>
        </w:tc>
        <w:tc>
          <w:tcPr>
            <w:tcW w:w="0" w:type="auto"/>
          </w:tcPr>
          <w:p w:rsidR="00E11D63" w:rsidRDefault="00E11D63" w:rsidP="0091267E">
            <w:r>
              <w:t>82,5</w:t>
            </w:r>
          </w:p>
        </w:tc>
        <w:tc>
          <w:tcPr>
            <w:tcW w:w="0" w:type="auto"/>
          </w:tcPr>
          <w:p w:rsidR="00E11D63" w:rsidRDefault="00E11D63" w:rsidP="00526C07">
            <w:r>
              <w:t>164</w:t>
            </w:r>
          </w:p>
        </w:tc>
      </w:tr>
      <w:tr w:rsidR="00E11D63">
        <w:tc>
          <w:tcPr>
            <w:tcW w:w="0" w:type="auto"/>
          </w:tcPr>
          <w:p w:rsidR="00E11D63" w:rsidRDefault="00E11D63" w:rsidP="00526C07">
            <w:r>
              <w:t>Подворье Иверского монаст</w:t>
            </w:r>
            <w:r>
              <w:t>ы</w:t>
            </w:r>
            <w:r>
              <w:t>ря</w:t>
            </w:r>
          </w:p>
        </w:tc>
        <w:tc>
          <w:tcPr>
            <w:tcW w:w="0" w:type="auto"/>
          </w:tcPr>
          <w:p w:rsidR="00E11D63" w:rsidRDefault="00E11D63" w:rsidP="0091267E">
            <w:r>
              <w:t>292</w:t>
            </w:r>
          </w:p>
        </w:tc>
        <w:tc>
          <w:tcPr>
            <w:tcW w:w="0" w:type="auto"/>
          </w:tcPr>
          <w:p w:rsidR="00E11D63" w:rsidRDefault="00E11D63" w:rsidP="00526C07">
            <w:r>
              <w:t>292</w:t>
            </w:r>
          </w:p>
        </w:tc>
        <w:tc>
          <w:tcPr>
            <w:tcW w:w="0" w:type="auto"/>
          </w:tcPr>
          <w:p w:rsidR="00E11D63" w:rsidRDefault="00E11D63" w:rsidP="00526C07">
            <w:r>
              <w:t>100</w:t>
            </w:r>
          </w:p>
        </w:tc>
        <w:tc>
          <w:tcPr>
            <w:tcW w:w="0" w:type="auto"/>
          </w:tcPr>
          <w:p w:rsidR="00E11D63" w:rsidRDefault="00E11D63" w:rsidP="00526C07">
            <w:r>
              <w:t>39</w:t>
            </w:r>
          </w:p>
        </w:tc>
        <w:tc>
          <w:tcPr>
            <w:tcW w:w="0" w:type="auto"/>
          </w:tcPr>
          <w:p w:rsidR="00E11D63" w:rsidRDefault="00E11D63" w:rsidP="00526C07">
            <w:r>
              <w:t>25</w:t>
            </w:r>
          </w:p>
        </w:tc>
        <w:tc>
          <w:tcPr>
            <w:tcW w:w="0" w:type="auto"/>
          </w:tcPr>
          <w:p w:rsidR="00E11D63" w:rsidRDefault="00E11D63" w:rsidP="00526C07">
            <w:r>
              <w:t>156</w:t>
            </w:r>
          </w:p>
        </w:tc>
      </w:tr>
      <w:tr w:rsidR="00E11D63">
        <w:tc>
          <w:tcPr>
            <w:tcW w:w="0" w:type="auto"/>
          </w:tcPr>
          <w:p w:rsidR="00E11D63" w:rsidRDefault="00E11D63" w:rsidP="00526C07">
            <w:r>
              <w:t>ВСЕГО</w:t>
            </w:r>
          </w:p>
        </w:tc>
        <w:tc>
          <w:tcPr>
            <w:tcW w:w="0" w:type="auto"/>
          </w:tcPr>
          <w:p w:rsidR="00E11D63" w:rsidRDefault="00E11D63" w:rsidP="0091267E">
            <w:r>
              <w:t>2711</w:t>
            </w:r>
          </w:p>
        </w:tc>
        <w:tc>
          <w:tcPr>
            <w:tcW w:w="0" w:type="auto"/>
          </w:tcPr>
          <w:p w:rsidR="00E11D63" w:rsidRDefault="00E11D63" w:rsidP="0091267E">
            <w:r>
              <w:t>2890</w:t>
            </w:r>
          </w:p>
        </w:tc>
        <w:tc>
          <w:tcPr>
            <w:tcW w:w="0" w:type="auto"/>
          </w:tcPr>
          <w:p w:rsidR="00E11D63" w:rsidRDefault="00E11D63" w:rsidP="0091267E">
            <w:r>
              <w:t xml:space="preserve"> 93,8</w:t>
            </w:r>
          </w:p>
        </w:tc>
        <w:tc>
          <w:tcPr>
            <w:tcW w:w="0" w:type="auto"/>
          </w:tcPr>
          <w:p w:rsidR="00E11D63" w:rsidRDefault="00E11D63" w:rsidP="0091267E">
            <w:r>
              <w:t>489,4</w:t>
            </w:r>
          </w:p>
        </w:tc>
        <w:tc>
          <w:tcPr>
            <w:tcW w:w="0" w:type="auto"/>
          </w:tcPr>
          <w:p w:rsidR="00E11D63" w:rsidRDefault="00E11D63" w:rsidP="0091267E">
            <w:r>
              <w:t>419,1</w:t>
            </w:r>
          </w:p>
        </w:tc>
        <w:tc>
          <w:tcPr>
            <w:tcW w:w="0" w:type="auto"/>
          </w:tcPr>
          <w:p w:rsidR="00E11D63" w:rsidRDefault="00E11D63" w:rsidP="0091267E">
            <w:r>
              <w:t xml:space="preserve">116,7 </w:t>
            </w:r>
          </w:p>
        </w:tc>
      </w:tr>
    </w:tbl>
    <w:p w:rsidR="00917097" w:rsidRDefault="00E11D63" w:rsidP="00062B3A">
      <w:pPr>
        <w:jc w:val="both"/>
      </w:pPr>
      <w:r>
        <w:tab/>
      </w:r>
    </w:p>
    <w:p w:rsidR="00E11D63" w:rsidRDefault="00917097" w:rsidP="00062B3A">
      <w:pPr>
        <w:jc w:val="both"/>
      </w:pPr>
      <w:r>
        <w:tab/>
      </w:r>
      <w:r w:rsidR="00E11D63">
        <w:t xml:space="preserve"> Вся продукция, произведённая в подсобных хозяйствах, использована на со</w:t>
      </w:r>
      <w:r w:rsidR="00E11D63">
        <w:t>б</w:t>
      </w:r>
      <w:r w:rsidR="00E11D63">
        <w:t>ственные нужды учреждений.</w:t>
      </w:r>
    </w:p>
    <w:p w:rsidR="00E11D63" w:rsidRDefault="00E11D63" w:rsidP="00062B3A">
      <w:pPr>
        <w:jc w:val="both"/>
      </w:pPr>
      <w:r>
        <w:tab/>
        <w:t>В 2012 году устойчиво работают крестьянские хозяйства, в их числе Широкова И.Н., Алексеевой Е.В., Алексеевой Н.В., Трущенковой С.Ю., Е</w:t>
      </w:r>
      <w:r>
        <w:t>в</w:t>
      </w:r>
      <w:r>
        <w:t>стигнеева А.М.</w:t>
      </w:r>
    </w:p>
    <w:p w:rsidR="00E11D63" w:rsidRDefault="00E11D63" w:rsidP="00062B3A">
      <w:pPr>
        <w:jc w:val="both"/>
      </w:pPr>
      <w:r>
        <w:tab/>
        <w:t>В целях реализации областной целевой программы «Развитие потребительской к</w:t>
      </w:r>
      <w:r>
        <w:t>о</w:t>
      </w:r>
      <w:r>
        <w:t>операции в Новгородской области на 2009-2012 годы» в районе за 2012 год на о</w:t>
      </w:r>
      <w:r>
        <w:t>т</w:t>
      </w:r>
      <w:r>
        <w:t>корм в личные подсобные хозяйства поставлено 1255 голов,  (в 2011 году – 1054 головы). Прои</w:t>
      </w:r>
      <w:r>
        <w:t>з</w:t>
      </w:r>
      <w:r>
        <w:t>ведено и ре</w:t>
      </w:r>
      <w:r>
        <w:t>а</w:t>
      </w:r>
      <w:r>
        <w:t>лизовано мяса 78 тонн ( 106,8 % к 2011 году)</w:t>
      </w:r>
    </w:p>
    <w:p w:rsidR="00995DE0" w:rsidRDefault="00995DE0" w:rsidP="00ED7021"/>
    <w:p w:rsidR="00917097" w:rsidRDefault="00917097" w:rsidP="00ED7021"/>
    <w:p w:rsidR="00917097" w:rsidRDefault="00917097" w:rsidP="00ED7021"/>
    <w:p w:rsidR="00917097" w:rsidRPr="00995DE0" w:rsidRDefault="00917097" w:rsidP="00ED7021"/>
    <w:p w:rsidR="003729AA" w:rsidRPr="00995DE0" w:rsidRDefault="003729AA" w:rsidP="003729AA">
      <w:pPr>
        <w:jc w:val="center"/>
        <w:rPr>
          <w:b/>
        </w:rPr>
      </w:pPr>
      <w:r w:rsidRPr="00995DE0">
        <w:rPr>
          <w:b/>
        </w:rPr>
        <w:lastRenderedPageBreak/>
        <w:t>ПОТРЕБИТЕЛЬСКИЙ РЫНОК.</w:t>
      </w:r>
    </w:p>
    <w:p w:rsidR="004B234B" w:rsidRPr="00995DE0" w:rsidRDefault="004B234B" w:rsidP="003729AA">
      <w:pPr>
        <w:jc w:val="center"/>
        <w:rPr>
          <w:b/>
        </w:rPr>
      </w:pPr>
    </w:p>
    <w:p w:rsidR="000219BB" w:rsidRPr="00995DE0" w:rsidRDefault="003729AA" w:rsidP="004B234B">
      <w:pPr>
        <w:jc w:val="both"/>
      </w:pPr>
      <w:r w:rsidRPr="00995DE0">
        <w:tab/>
        <w:t>В</w:t>
      </w:r>
      <w:r w:rsidR="00A07488" w:rsidRPr="00995DE0">
        <w:t xml:space="preserve"> </w:t>
      </w:r>
      <w:r w:rsidRPr="00995DE0">
        <w:t>201</w:t>
      </w:r>
      <w:r w:rsidR="00B11BBC" w:rsidRPr="00995DE0">
        <w:t>2</w:t>
      </w:r>
      <w:r w:rsidRPr="00995DE0">
        <w:t xml:space="preserve"> год</w:t>
      </w:r>
      <w:r w:rsidR="00812B7E">
        <w:t>у</w:t>
      </w:r>
      <w:r w:rsidRPr="00995DE0">
        <w:t xml:space="preserve"> оборот розничной торговли района состави</w:t>
      </w:r>
      <w:r w:rsidR="00B11BBC" w:rsidRPr="00995DE0">
        <w:t>л</w:t>
      </w:r>
      <w:r w:rsidRPr="00995DE0">
        <w:t xml:space="preserve"> </w:t>
      </w:r>
      <w:r w:rsidR="00812B7E">
        <w:t>3154,9</w:t>
      </w:r>
      <w:r w:rsidR="0029291F" w:rsidRPr="00995DE0">
        <w:t xml:space="preserve"> </w:t>
      </w:r>
      <w:r w:rsidRPr="00995DE0">
        <w:t>млн.руб</w:t>
      </w:r>
      <w:r w:rsidR="00995C10" w:rsidRPr="00995DE0">
        <w:t>.</w:t>
      </w:r>
      <w:r w:rsidRPr="00995DE0">
        <w:t xml:space="preserve"> и по сравнению с 20</w:t>
      </w:r>
      <w:r w:rsidR="000219BB" w:rsidRPr="00995DE0">
        <w:t>1</w:t>
      </w:r>
      <w:r w:rsidR="00B11BBC" w:rsidRPr="00995DE0">
        <w:t>1</w:t>
      </w:r>
      <w:r w:rsidR="000219BB" w:rsidRPr="00995DE0">
        <w:t xml:space="preserve"> год</w:t>
      </w:r>
      <w:r w:rsidRPr="00995DE0">
        <w:t>ом увеличи</w:t>
      </w:r>
      <w:r w:rsidR="00D82C58" w:rsidRPr="00995DE0">
        <w:t>т</w:t>
      </w:r>
      <w:r w:rsidRPr="00995DE0">
        <w:t>ся в сопоставимой оценке на</w:t>
      </w:r>
      <w:r w:rsidR="00725010" w:rsidRPr="00995DE0">
        <w:t xml:space="preserve"> </w:t>
      </w:r>
      <w:r w:rsidR="002049D8">
        <w:t>1</w:t>
      </w:r>
      <w:r w:rsidR="00812B7E">
        <w:t>6,7</w:t>
      </w:r>
      <w:r w:rsidR="007A10D5" w:rsidRPr="00995DE0">
        <w:t xml:space="preserve"> </w:t>
      </w:r>
      <w:r w:rsidRPr="00995DE0">
        <w:t>%</w:t>
      </w:r>
      <w:r w:rsidR="00501768" w:rsidRPr="00995DE0">
        <w:t>.</w:t>
      </w:r>
      <w:r w:rsidR="002049D8">
        <w:t xml:space="preserve"> </w:t>
      </w:r>
      <w:r w:rsidR="005117EE" w:rsidRPr="00995DE0">
        <w:t>О</w:t>
      </w:r>
      <w:r w:rsidR="00501768" w:rsidRPr="00995DE0">
        <w:t>борот на душу нас</w:t>
      </w:r>
      <w:r w:rsidR="00501768" w:rsidRPr="00995DE0">
        <w:t>е</w:t>
      </w:r>
      <w:r w:rsidR="00501768" w:rsidRPr="00995DE0">
        <w:t>ления состави</w:t>
      </w:r>
      <w:r w:rsidR="00B11BBC" w:rsidRPr="00995DE0">
        <w:t>л</w:t>
      </w:r>
      <w:r w:rsidR="00501768" w:rsidRPr="00995DE0">
        <w:t xml:space="preserve"> </w:t>
      </w:r>
      <w:r w:rsidR="00812B7E">
        <w:t>123,4</w:t>
      </w:r>
      <w:r w:rsidR="00501768" w:rsidRPr="00995DE0">
        <w:t xml:space="preserve"> тыс.руб.</w:t>
      </w:r>
      <w:r w:rsidR="00BF1900" w:rsidRPr="00995DE0">
        <w:t>(1</w:t>
      </w:r>
      <w:r w:rsidR="005117EE" w:rsidRPr="00995DE0">
        <w:t>1</w:t>
      </w:r>
      <w:r w:rsidR="00812B7E">
        <w:t xml:space="preserve">8,4 </w:t>
      </w:r>
      <w:r w:rsidR="00BF1900" w:rsidRPr="00995DE0">
        <w:t xml:space="preserve">%), по области- </w:t>
      </w:r>
      <w:r w:rsidR="00812B7E">
        <w:t>122,6</w:t>
      </w:r>
      <w:r w:rsidR="00BF1900" w:rsidRPr="00995DE0">
        <w:t xml:space="preserve"> тыс. руб. (10</w:t>
      </w:r>
      <w:r w:rsidR="00812B7E">
        <w:t>9,1</w:t>
      </w:r>
      <w:r w:rsidR="00B11BBC" w:rsidRPr="00995DE0">
        <w:t xml:space="preserve"> </w:t>
      </w:r>
      <w:r w:rsidR="00BF1900" w:rsidRPr="00995DE0">
        <w:t>%)</w:t>
      </w:r>
    </w:p>
    <w:p w:rsidR="00501768" w:rsidRPr="00995DE0" w:rsidRDefault="00501768" w:rsidP="004B234B">
      <w:pPr>
        <w:jc w:val="both"/>
      </w:pPr>
      <w:r w:rsidRPr="00995DE0">
        <w:tab/>
        <w:t>Положение на потребительском рынке района в течение отчётного периода остав</w:t>
      </w:r>
      <w:r w:rsidRPr="00995DE0">
        <w:t>а</w:t>
      </w:r>
      <w:r w:rsidRPr="00995DE0">
        <w:t>лось стабильным и характеризовалось высоким уровнем товарной насыщенности. В пр</w:t>
      </w:r>
      <w:r w:rsidRPr="00995DE0">
        <w:t>о</w:t>
      </w:r>
      <w:r w:rsidRPr="00995DE0">
        <w:t>даже имелся широкий ассортимент пр</w:t>
      </w:r>
      <w:r w:rsidRPr="00995DE0">
        <w:t>о</w:t>
      </w:r>
      <w:r w:rsidRPr="00995DE0">
        <w:t>довольственных и непродовольственных товаров. Остаётся стабильным и состояние товарных запасов. Потребительский рынок района п</w:t>
      </w:r>
      <w:r w:rsidRPr="00995DE0">
        <w:t>о</w:t>
      </w:r>
      <w:r w:rsidRPr="00995DE0">
        <w:t>лучает дальнейшее развитие, повышается уровень торгового обслуживания.</w:t>
      </w:r>
      <w:r w:rsidR="009D69B6" w:rsidRPr="00995DE0">
        <w:t xml:space="preserve"> Но уро</w:t>
      </w:r>
      <w:r w:rsidR="009D69B6" w:rsidRPr="00995DE0">
        <w:t>в</w:t>
      </w:r>
      <w:r w:rsidR="002436D8" w:rsidRPr="00995DE0">
        <w:t>е</w:t>
      </w:r>
      <w:r w:rsidR="009D69B6" w:rsidRPr="00995DE0">
        <w:t>н</w:t>
      </w:r>
      <w:r w:rsidR="002436D8" w:rsidRPr="00995DE0">
        <w:t>ь</w:t>
      </w:r>
      <w:r w:rsidR="009D69B6" w:rsidRPr="00995DE0">
        <w:t xml:space="preserve"> цен </w:t>
      </w:r>
      <w:r w:rsidR="002436D8" w:rsidRPr="00995DE0">
        <w:t>в районе является одним из самых высоких в области</w:t>
      </w:r>
      <w:r w:rsidR="009D69B6" w:rsidRPr="00995DE0">
        <w:t>.</w:t>
      </w:r>
    </w:p>
    <w:p w:rsidR="00B64249" w:rsidRPr="00995DE0" w:rsidRDefault="000219BB" w:rsidP="00B64249">
      <w:pPr>
        <w:jc w:val="both"/>
      </w:pPr>
      <w:r w:rsidRPr="00995DE0">
        <w:tab/>
        <w:t xml:space="preserve">В целом </w:t>
      </w:r>
      <w:r w:rsidR="00501768" w:rsidRPr="00995DE0">
        <w:t xml:space="preserve">в сфере торговли насчитывается </w:t>
      </w:r>
      <w:r w:rsidR="00725010" w:rsidRPr="00995DE0">
        <w:t>33</w:t>
      </w:r>
      <w:r w:rsidR="00210B86" w:rsidRPr="00995DE0">
        <w:t>1</w:t>
      </w:r>
      <w:r w:rsidR="00501768" w:rsidRPr="00995DE0">
        <w:t xml:space="preserve"> объек</w:t>
      </w:r>
      <w:r w:rsidR="00725010" w:rsidRPr="00995DE0">
        <w:t>т</w:t>
      </w:r>
      <w:r w:rsidR="00501768" w:rsidRPr="00995DE0">
        <w:t>. Обеспеченность торгов</w:t>
      </w:r>
      <w:r w:rsidR="00501768" w:rsidRPr="00995DE0">
        <w:t>ы</w:t>
      </w:r>
      <w:r w:rsidR="00501768" w:rsidRPr="00995DE0">
        <w:t xml:space="preserve">ми площадями в расчёте на 1000 жителей </w:t>
      </w:r>
      <w:r w:rsidR="00161CB6" w:rsidRPr="00995DE0">
        <w:t xml:space="preserve">является одной из высоких в области и </w:t>
      </w:r>
      <w:r w:rsidR="00501768" w:rsidRPr="00995DE0">
        <w:t xml:space="preserve">составляет </w:t>
      </w:r>
      <w:r w:rsidR="00210B86" w:rsidRPr="00995DE0">
        <w:t>7</w:t>
      </w:r>
      <w:r w:rsidR="00141BEB">
        <w:t>60</w:t>
      </w:r>
      <w:r w:rsidR="00501768" w:rsidRPr="00995DE0">
        <w:t xml:space="preserve"> к</w:t>
      </w:r>
      <w:r w:rsidR="00FD153B" w:rsidRPr="00995DE0">
        <w:t>в</w:t>
      </w:r>
      <w:r w:rsidR="00501768" w:rsidRPr="00995DE0">
        <w:t xml:space="preserve">.м., при </w:t>
      </w:r>
      <w:r w:rsidR="00210B86" w:rsidRPr="00995DE0">
        <w:t>нормативе</w:t>
      </w:r>
      <w:r w:rsidR="00501768" w:rsidRPr="00995DE0">
        <w:t xml:space="preserve"> </w:t>
      </w:r>
      <w:r w:rsidR="00210B86" w:rsidRPr="00995DE0">
        <w:t>479</w:t>
      </w:r>
      <w:r w:rsidR="00725010" w:rsidRPr="00995DE0">
        <w:t xml:space="preserve"> </w:t>
      </w:r>
      <w:r w:rsidR="00501768" w:rsidRPr="00995DE0">
        <w:t xml:space="preserve">кв.м. </w:t>
      </w:r>
    </w:p>
    <w:p w:rsidR="00B33545" w:rsidRPr="00995DE0" w:rsidRDefault="00B64249" w:rsidP="004B234B">
      <w:pPr>
        <w:jc w:val="both"/>
      </w:pPr>
      <w:r w:rsidRPr="00995DE0">
        <w:tab/>
      </w:r>
      <w:r w:rsidR="000219BB" w:rsidRPr="00995DE0">
        <w:t>В районе работают</w:t>
      </w:r>
      <w:r w:rsidR="00501768" w:rsidRPr="00995DE0">
        <w:t xml:space="preserve"> </w:t>
      </w:r>
      <w:r w:rsidR="000219BB" w:rsidRPr="00995DE0">
        <w:t>три</w:t>
      </w:r>
      <w:r w:rsidR="00501768" w:rsidRPr="00995DE0">
        <w:t xml:space="preserve"> </w:t>
      </w:r>
      <w:r w:rsidR="00CA6B35" w:rsidRPr="00995DE0">
        <w:t>магазина</w:t>
      </w:r>
      <w:r w:rsidR="00501768" w:rsidRPr="00995DE0">
        <w:t xml:space="preserve"> торгов</w:t>
      </w:r>
      <w:r w:rsidR="005E6B45" w:rsidRPr="00995DE0">
        <w:t>ой</w:t>
      </w:r>
      <w:r w:rsidR="00501768" w:rsidRPr="00995DE0">
        <w:t xml:space="preserve"> сет</w:t>
      </w:r>
      <w:r w:rsidR="005E6B45" w:rsidRPr="00995DE0">
        <w:t>и</w:t>
      </w:r>
      <w:r w:rsidR="00501768" w:rsidRPr="00995DE0">
        <w:t xml:space="preserve"> «Магнит» </w:t>
      </w:r>
      <w:r w:rsidR="000219BB" w:rsidRPr="00995DE0">
        <w:t xml:space="preserve">и </w:t>
      </w:r>
      <w:r w:rsidR="00501768" w:rsidRPr="00995DE0">
        <w:t xml:space="preserve"> </w:t>
      </w:r>
      <w:r w:rsidR="000A543C" w:rsidRPr="00995DE0">
        <w:t>три</w:t>
      </w:r>
      <w:r w:rsidR="005E6B45" w:rsidRPr="00995DE0">
        <w:t xml:space="preserve"> сетевых магаз</w:t>
      </w:r>
      <w:r w:rsidR="005E6B45" w:rsidRPr="00995DE0">
        <w:t>и</w:t>
      </w:r>
      <w:r w:rsidR="005E6B45" w:rsidRPr="00995DE0">
        <w:t xml:space="preserve">на </w:t>
      </w:r>
      <w:r w:rsidR="00501768" w:rsidRPr="00995DE0">
        <w:t>«Полуш</w:t>
      </w:r>
      <w:r w:rsidR="00161CB6" w:rsidRPr="00995DE0">
        <w:t>ка», «Дикси». Зак</w:t>
      </w:r>
      <w:r w:rsidR="00D90A56" w:rsidRPr="00995DE0">
        <w:t>о</w:t>
      </w:r>
      <w:r w:rsidR="00161CB6" w:rsidRPr="00995DE0">
        <w:t>нч</w:t>
      </w:r>
      <w:r w:rsidR="001B3649" w:rsidRPr="00995DE0">
        <w:t>ен</w:t>
      </w:r>
      <w:r w:rsidR="00161CB6" w:rsidRPr="00995DE0">
        <w:t xml:space="preserve"> ремонт здания «Универмага» Валдайского ТПП, где на первом этаже размести</w:t>
      </w:r>
      <w:r w:rsidR="005117EE" w:rsidRPr="00995DE0">
        <w:t>л</w:t>
      </w:r>
      <w:r w:rsidR="00161CB6" w:rsidRPr="00995DE0">
        <w:t>ся магазин сетевой компании «Вольный купец».</w:t>
      </w:r>
      <w:r w:rsidR="005117EE" w:rsidRPr="00995DE0">
        <w:t xml:space="preserve"> </w:t>
      </w:r>
      <w:r w:rsidR="0014193F">
        <w:t xml:space="preserve"> в конце года о</w:t>
      </w:r>
      <w:r w:rsidR="0014193F">
        <w:t>т</w:t>
      </w:r>
      <w:r w:rsidR="0014193F">
        <w:t xml:space="preserve">крылся магазин торговой сети «Пятёрочка» по пр. Комсомольский. </w:t>
      </w:r>
      <w:r w:rsidR="005117EE" w:rsidRPr="00995DE0">
        <w:t xml:space="preserve">В </w:t>
      </w:r>
      <w:r w:rsidR="00AA0CB9">
        <w:t>течение отчетного периода</w:t>
      </w:r>
      <w:r w:rsidR="005117EE" w:rsidRPr="00995DE0">
        <w:t xml:space="preserve"> на проспекте Советский открылс</w:t>
      </w:r>
      <w:r w:rsidR="00AA0CB9">
        <w:t>я</w:t>
      </w:r>
      <w:r w:rsidR="005117EE" w:rsidRPr="00995DE0">
        <w:t xml:space="preserve"> магазин «Строительный мир» общей площ</w:t>
      </w:r>
      <w:r w:rsidR="005117EE" w:rsidRPr="00995DE0">
        <w:t>а</w:t>
      </w:r>
      <w:r w:rsidR="005117EE" w:rsidRPr="00995DE0">
        <w:t>дью 7</w:t>
      </w:r>
      <w:r w:rsidR="00AA2F74" w:rsidRPr="00995DE0">
        <w:t>6</w:t>
      </w:r>
      <w:r w:rsidR="005117EE" w:rsidRPr="00995DE0">
        <w:t>0 кв.м.</w:t>
      </w:r>
      <w:r w:rsidR="00141BEB">
        <w:t>,</w:t>
      </w:r>
      <w:r w:rsidR="006D12CD">
        <w:t xml:space="preserve"> магазин  «Перестройка» (</w:t>
      </w:r>
      <w:r w:rsidR="006D12CD" w:rsidRPr="00995DE0">
        <w:t>пр.Васи</w:t>
      </w:r>
      <w:r w:rsidR="006D12CD">
        <w:t>льева), площадью -  254,6 кв.м.</w:t>
      </w:r>
      <w:r w:rsidR="00AA0CB9">
        <w:t>, магазин «Метрика» на ул. Песч</w:t>
      </w:r>
      <w:r w:rsidR="00AA0CB9">
        <w:t>а</w:t>
      </w:r>
      <w:r w:rsidR="00AA0CB9">
        <w:t>ная.</w:t>
      </w:r>
    </w:p>
    <w:p w:rsidR="00A00297" w:rsidRDefault="00B33545" w:rsidP="004B234B">
      <w:pPr>
        <w:jc w:val="both"/>
      </w:pPr>
      <w:r w:rsidRPr="00995DE0">
        <w:tab/>
      </w:r>
    </w:p>
    <w:p w:rsidR="00501768" w:rsidRPr="00995DE0" w:rsidRDefault="005E6B45" w:rsidP="004B234B">
      <w:pPr>
        <w:jc w:val="both"/>
      </w:pPr>
      <w:r w:rsidRPr="00995DE0">
        <w:rPr>
          <w:sz w:val="28"/>
          <w:szCs w:val="28"/>
        </w:rPr>
        <w:t xml:space="preserve">   </w:t>
      </w:r>
      <w:r w:rsidR="00501768" w:rsidRPr="00995DE0">
        <w:tab/>
        <w:t xml:space="preserve">В районе насчитывается </w:t>
      </w:r>
      <w:r w:rsidR="00725010" w:rsidRPr="00995DE0">
        <w:t>7</w:t>
      </w:r>
      <w:r w:rsidR="00B33545" w:rsidRPr="00995DE0">
        <w:t>2</w:t>
      </w:r>
      <w:r w:rsidR="00501768" w:rsidRPr="00995DE0">
        <w:t xml:space="preserve"> предприяти</w:t>
      </w:r>
      <w:r w:rsidR="00B33545" w:rsidRPr="00995DE0">
        <w:t>я</w:t>
      </w:r>
      <w:r w:rsidR="00501768" w:rsidRPr="00995DE0">
        <w:t xml:space="preserve"> общественного питания. </w:t>
      </w:r>
    </w:p>
    <w:p w:rsidR="00B33545" w:rsidRDefault="00B33545" w:rsidP="000852ED">
      <w:pPr>
        <w:jc w:val="center"/>
      </w:pPr>
    </w:p>
    <w:p w:rsidR="000852ED" w:rsidRPr="00995DE0" w:rsidRDefault="00883E26" w:rsidP="000852ED">
      <w:pPr>
        <w:jc w:val="center"/>
      </w:pPr>
      <w:r w:rsidRPr="00995DE0">
        <w:t>Т</w:t>
      </w:r>
      <w:r w:rsidR="000852ED" w:rsidRPr="00995DE0">
        <w:t xml:space="preserve">оварооборот общественного питания за </w:t>
      </w:r>
      <w:r w:rsidR="00D82C58" w:rsidRPr="00995DE0">
        <w:t xml:space="preserve"> </w:t>
      </w:r>
      <w:r w:rsidR="000852ED" w:rsidRPr="00995DE0">
        <w:t>201</w:t>
      </w:r>
      <w:r w:rsidR="001A1F05" w:rsidRPr="00995DE0">
        <w:t>2</w:t>
      </w:r>
      <w:r w:rsidR="000852ED" w:rsidRPr="00995DE0">
        <w:t xml:space="preserve"> год.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95"/>
        <w:gridCol w:w="1097"/>
        <w:gridCol w:w="1097"/>
        <w:gridCol w:w="2200"/>
      </w:tblGrid>
      <w:tr w:rsidR="00CA373A" w:rsidRPr="00995DE0">
        <w:tc>
          <w:tcPr>
            <w:tcW w:w="0" w:type="auto"/>
          </w:tcPr>
          <w:p w:rsidR="000852ED" w:rsidRPr="00995DE0" w:rsidRDefault="000852ED" w:rsidP="000852ED">
            <w:r w:rsidRPr="00995DE0">
              <w:t>Показатели</w:t>
            </w:r>
          </w:p>
        </w:tc>
        <w:tc>
          <w:tcPr>
            <w:tcW w:w="0" w:type="auto"/>
          </w:tcPr>
          <w:p w:rsidR="000852ED" w:rsidRPr="00995DE0" w:rsidRDefault="000852ED" w:rsidP="000852ED">
            <w:r w:rsidRPr="00995DE0">
              <w:t>201</w:t>
            </w:r>
            <w:r w:rsidR="001A1F05" w:rsidRPr="00995DE0">
              <w:t>2</w:t>
            </w:r>
            <w:r w:rsidRPr="00995DE0">
              <w:t xml:space="preserve"> год</w:t>
            </w:r>
          </w:p>
        </w:tc>
        <w:tc>
          <w:tcPr>
            <w:tcW w:w="0" w:type="auto"/>
          </w:tcPr>
          <w:p w:rsidR="000852ED" w:rsidRPr="00995DE0" w:rsidRDefault="000852ED" w:rsidP="000852ED">
            <w:r w:rsidRPr="00995DE0">
              <w:t>20</w:t>
            </w:r>
            <w:r w:rsidR="00CA6B35" w:rsidRPr="00995DE0">
              <w:t>1</w:t>
            </w:r>
            <w:r w:rsidR="001A1F05" w:rsidRPr="00995DE0">
              <w:t>1</w:t>
            </w:r>
            <w:r w:rsidRPr="00995DE0">
              <w:t xml:space="preserve"> год </w:t>
            </w:r>
          </w:p>
        </w:tc>
        <w:tc>
          <w:tcPr>
            <w:tcW w:w="0" w:type="auto"/>
          </w:tcPr>
          <w:p w:rsidR="000852ED" w:rsidRPr="00995DE0" w:rsidRDefault="00BF1900" w:rsidP="00461597">
            <w:r w:rsidRPr="00995DE0">
              <w:t xml:space="preserve">Индекс физ.объема </w:t>
            </w:r>
          </w:p>
        </w:tc>
      </w:tr>
      <w:tr w:rsidR="00CA373A" w:rsidRPr="00995DE0">
        <w:tc>
          <w:tcPr>
            <w:tcW w:w="0" w:type="auto"/>
          </w:tcPr>
          <w:p w:rsidR="000852ED" w:rsidRPr="00995DE0" w:rsidRDefault="000852ED" w:rsidP="000852ED">
            <w:r w:rsidRPr="00995DE0">
              <w:t>Объекты общественного питания, ед.</w:t>
            </w:r>
          </w:p>
        </w:tc>
        <w:tc>
          <w:tcPr>
            <w:tcW w:w="0" w:type="auto"/>
          </w:tcPr>
          <w:p w:rsidR="000852ED" w:rsidRPr="00995DE0" w:rsidRDefault="00725010" w:rsidP="000852ED">
            <w:r w:rsidRPr="00995DE0">
              <w:t>7</w:t>
            </w:r>
            <w:r w:rsidR="00677B02" w:rsidRPr="00995DE0">
              <w:t>2</w:t>
            </w:r>
          </w:p>
        </w:tc>
        <w:tc>
          <w:tcPr>
            <w:tcW w:w="0" w:type="auto"/>
          </w:tcPr>
          <w:p w:rsidR="000852ED" w:rsidRPr="00995DE0" w:rsidRDefault="00725010" w:rsidP="000852ED">
            <w:r w:rsidRPr="00995DE0">
              <w:t>7</w:t>
            </w:r>
            <w:r w:rsidR="00CA6B35" w:rsidRPr="00995DE0">
              <w:t>1</w:t>
            </w:r>
          </w:p>
        </w:tc>
        <w:tc>
          <w:tcPr>
            <w:tcW w:w="0" w:type="auto"/>
          </w:tcPr>
          <w:p w:rsidR="000852ED" w:rsidRPr="00995DE0" w:rsidRDefault="000852ED" w:rsidP="000852ED"/>
        </w:tc>
      </w:tr>
      <w:tr w:rsidR="00CA373A" w:rsidRPr="00995DE0">
        <w:tc>
          <w:tcPr>
            <w:tcW w:w="0" w:type="auto"/>
          </w:tcPr>
          <w:p w:rsidR="000852ED" w:rsidRPr="00995DE0" w:rsidRDefault="000852ED" w:rsidP="000852ED">
            <w:r w:rsidRPr="00995DE0">
              <w:t>Оборот общественного питания, млн.руб.</w:t>
            </w:r>
          </w:p>
        </w:tc>
        <w:tc>
          <w:tcPr>
            <w:tcW w:w="0" w:type="auto"/>
          </w:tcPr>
          <w:p w:rsidR="000852ED" w:rsidRPr="00995DE0" w:rsidRDefault="00793C6A" w:rsidP="000852ED">
            <w:r>
              <w:t>1</w:t>
            </w:r>
            <w:r w:rsidR="00024293">
              <w:t>51,5</w:t>
            </w:r>
          </w:p>
        </w:tc>
        <w:tc>
          <w:tcPr>
            <w:tcW w:w="0" w:type="auto"/>
          </w:tcPr>
          <w:p w:rsidR="000852ED" w:rsidRPr="00995DE0" w:rsidRDefault="00793C6A" w:rsidP="000852ED">
            <w:r>
              <w:t>1</w:t>
            </w:r>
            <w:r w:rsidR="00024293">
              <w:t>45,6</w:t>
            </w:r>
          </w:p>
        </w:tc>
        <w:tc>
          <w:tcPr>
            <w:tcW w:w="0" w:type="auto"/>
          </w:tcPr>
          <w:p w:rsidR="000852ED" w:rsidRPr="00995DE0" w:rsidRDefault="00BF1900" w:rsidP="001A1F05">
            <w:pPr>
              <w:jc w:val="center"/>
            </w:pPr>
            <w:r w:rsidRPr="00995DE0">
              <w:t>9</w:t>
            </w:r>
            <w:r w:rsidR="00024293">
              <w:t>8,5</w:t>
            </w:r>
          </w:p>
        </w:tc>
      </w:tr>
    </w:tbl>
    <w:p w:rsidR="004B234B" w:rsidRPr="00995DE0" w:rsidRDefault="004B234B" w:rsidP="000852ED"/>
    <w:p w:rsidR="000852ED" w:rsidRDefault="004B234B" w:rsidP="004B234B">
      <w:pPr>
        <w:jc w:val="both"/>
      </w:pPr>
      <w:r w:rsidRPr="00995DE0">
        <w:t xml:space="preserve">       </w:t>
      </w:r>
      <w:r w:rsidR="001B3649" w:rsidRPr="00EE4045">
        <w:t xml:space="preserve">Розничный товарооборот </w:t>
      </w:r>
      <w:r w:rsidR="000852ED" w:rsidRPr="00EE4045">
        <w:t>Валдайско</w:t>
      </w:r>
      <w:r w:rsidR="005150C6" w:rsidRPr="00EE4045">
        <w:t>го</w:t>
      </w:r>
      <w:r w:rsidR="000852ED" w:rsidRPr="00EE4045">
        <w:t xml:space="preserve"> ТПП</w:t>
      </w:r>
      <w:r w:rsidR="005150C6" w:rsidRPr="00EE4045">
        <w:t xml:space="preserve">  составил</w:t>
      </w:r>
      <w:r w:rsidR="00AF5CC6" w:rsidRPr="00EE4045">
        <w:t xml:space="preserve"> за 2012 г</w:t>
      </w:r>
      <w:r w:rsidR="00AF5CC6" w:rsidRPr="00EE4045">
        <w:t>о</w:t>
      </w:r>
      <w:r w:rsidR="00AF5CC6" w:rsidRPr="00EE4045">
        <w:t xml:space="preserve">д </w:t>
      </w:r>
      <w:r w:rsidR="005150C6" w:rsidRPr="00EE4045">
        <w:t xml:space="preserve"> </w:t>
      </w:r>
      <w:r w:rsidR="00A1287B" w:rsidRPr="00EE4045">
        <w:t>1</w:t>
      </w:r>
      <w:r w:rsidR="00EE4045" w:rsidRPr="00EE4045">
        <w:t>48,3</w:t>
      </w:r>
      <w:r w:rsidR="001B3649" w:rsidRPr="00EE4045">
        <w:t xml:space="preserve"> млн.руб. (</w:t>
      </w:r>
      <w:r w:rsidR="00984935">
        <w:t>80,4</w:t>
      </w:r>
      <w:r w:rsidR="000A1FC5" w:rsidRPr="00EE4045">
        <w:t xml:space="preserve"> </w:t>
      </w:r>
      <w:r w:rsidR="006D29AF" w:rsidRPr="00EE4045">
        <w:t>%</w:t>
      </w:r>
      <w:r w:rsidR="001B3649" w:rsidRPr="00EE4045">
        <w:t xml:space="preserve"> к 2011 год</w:t>
      </w:r>
      <w:r w:rsidR="002D4052" w:rsidRPr="00EE4045">
        <w:t>у</w:t>
      </w:r>
      <w:r w:rsidR="001B3649" w:rsidRPr="00EE4045">
        <w:t>) , об</w:t>
      </w:r>
      <w:r w:rsidR="000852ED" w:rsidRPr="00EE4045">
        <w:t xml:space="preserve">орот общественного питания </w:t>
      </w:r>
      <w:r w:rsidR="00526C6F" w:rsidRPr="00EE4045">
        <w:t>–</w:t>
      </w:r>
      <w:r w:rsidR="001B3649" w:rsidRPr="00EE4045">
        <w:t xml:space="preserve"> </w:t>
      </w:r>
      <w:r w:rsidR="000A1FC5" w:rsidRPr="00EE4045">
        <w:t>1</w:t>
      </w:r>
      <w:r w:rsidR="00EE4045">
        <w:t>9,5</w:t>
      </w:r>
      <w:r w:rsidR="00725010" w:rsidRPr="00EE4045">
        <w:t xml:space="preserve"> </w:t>
      </w:r>
      <w:r w:rsidR="000852ED" w:rsidRPr="00EE4045">
        <w:t xml:space="preserve">млн.руб.( </w:t>
      </w:r>
      <w:r w:rsidR="00984935">
        <w:t>79,3</w:t>
      </w:r>
      <w:r w:rsidR="00D82C58" w:rsidRPr="00EE4045">
        <w:t xml:space="preserve"> </w:t>
      </w:r>
      <w:r w:rsidR="000852ED" w:rsidRPr="00EE4045">
        <w:t>%), в том числе пр</w:t>
      </w:r>
      <w:r w:rsidR="000852ED" w:rsidRPr="00EE4045">
        <w:t>о</w:t>
      </w:r>
      <w:r w:rsidR="000852ED" w:rsidRPr="00EE4045">
        <w:t xml:space="preserve">изводство продукции собственного производства </w:t>
      </w:r>
      <w:r w:rsidR="00EE4045">
        <w:t>17,2</w:t>
      </w:r>
      <w:r w:rsidR="00984935">
        <w:t xml:space="preserve">                                                            </w:t>
      </w:r>
      <w:r w:rsidR="000852ED" w:rsidRPr="00EE4045">
        <w:t xml:space="preserve"> млн.руб. (</w:t>
      </w:r>
      <w:r w:rsidR="0046782C" w:rsidRPr="00EE4045">
        <w:t>7</w:t>
      </w:r>
      <w:r w:rsidR="00984935">
        <w:t>3,2</w:t>
      </w:r>
      <w:r w:rsidR="00D82C58" w:rsidRPr="00EE4045">
        <w:t xml:space="preserve"> </w:t>
      </w:r>
      <w:r w:rsidR="000852ED" w:rsidRPr="00EE4045">
        <w:t>%</w:t>
      </w:r>
      <w:r w:rsidR="00725010" w:rsidRPr="00EE4045">
        <w:t xml:space="preserve"> </w:t>
      </w:r>
      <w:r w:rsidR="00526C6F" w:rsidRPr="00EE4045">
        <w:t>).</w:t>
      </w:r>
      <w:r w:rsidR="00883E26" w:rsidRPr="00995DE0">
        <w:t xml:space="preserve"> </w:t>
      </w:r>
    </w:p>
    <w:p w:rsidR="008103E8" w:rsidRPr="008103E8" w:rsidRDefault="008103E8" w:rsidP="008103E8">
      <w:r>
        <w:tab/>
      </w:r>
      <w:r w:rsidRPr="008103E8">
        <w:t>На территории района</w:t>
      </w:r>
      <w:r w:rsidRPr="008103E8">
        <w:rPr>
          <w:b/>
        </w:rPr>
        <w:t xml:space="preserve"> </w:t>
      </w:r>
      <w:r w:rsidRPr="008103E8">
        <w:t xml:space="preserve">действуют  2 рынка общая площадь которых составляет 2370 кв.м., в 2012 году введен в эксплуатацию еще один рынок в г.Валдай площадью – 226 кв.м. </w:t>
      </w:r>
    </w:p>
    <w:p w:rsidR="000A1FC5" w:rsidRDefault="000A1FC5" w:rsidP="004B234B">
      <w:pPr>
        <w:jc w:val="both"/>
      </w:pPr>
    </w:p>
    <w:p w:rsidR="000852ED" w:rsidRPr="00995DE0" w:rsidRDefault="000852ED" w:rsidP="000852ED"/>
    <w:p w:rsidR="000852ED" w:rsidRPr="00995DE0" w:rsidRDefault="000852ED" w:rsidP="000852ED">
      <w:pPr>
        <w:jc w:val="center"/>
        <w:rPr>
          <w:b/>
        </w:rPr>
      </w:pPr>
      <w:r w:rsidRPr="00995DE0">
        <w:rPr>
          <w:b/>
        </w:rPr>
        <w:t>СОЦИАЛЬНАЯ ЗАЩИТА НАСЕЛЕНИЯ.</w:t>
      </w:r>
    </w:p>
    <w:p w:rsidR="006773B9" w:rsidRPr="00995DE0" w:rsidRDefault="006773B9" w:rsidP="000852ED">
      <w:pPr>
        <w:jc w:val="center"/>
        <w:rPr>
          <w:b/>
        </w:rPr>
      </w:pPr>
    </w:p>
    <w:p w:rsidR="000852ED" w:rsidRPr="00995DE0" w:rsidRDefault="005960E2" w:rsidP="004B234B">
      <w:pPr>
        <w:jc w:val="both"/>
      </w:pPr>
      <w:r w:rsidRPr="00995DE0">
        <w:t xml:space="preserve"> </w:t>
      </w:r>
      <w:r w:rsidR="004B234B" w:rsidRPr="00995DE0">
        <w:t xml:space="preserve">     </w:t>
      </w:r>
      <w:r w:rsidRPr="00995DE0">
        <w:t xml:space="preserve">На учёте в социальной службе состоит </w:t>
      </w:r>
      <w:r w:rsidR="00951237">
        <w:t>2,</w:t>
      </w:r>
      <w:r w:rsidR="00E748E8">
        <w:t xml:space="preserve">3 </w:t>
      </w:r>
      <w:r w:rsidRPr="00995DE0">
        <w:t>тыс. малообеспеченных граждан, доход к</w:t>
      </w:r>
      <w:r w:rsidRPr="00995DE0">
        <w:t>о</w:t>
      </w:r>
      <w:r w:rsidRPr="00995DE0">
        <w:t>торых ниже прожиточного минимума на душу населения, установленного по области (</w:t>
      </w:r>
      <w:r w:rsidR="00EF6EA5" w:rsidRPr="009950C8">
        <w:t>61</w:t>
      </w:r>
      <w:r w:rsidR="009950C8" w:rsidRPr="009950C8">
        <w:t>8</w:t>
      </w:r>
      <w:r w:rsidR="00EF6EA5" w:rsidRPr="009950C8">
        <w:t>3</w:t>
      </w:r>
      <w:r w:rsidR="008778FF" w:rsidRPr="009950C8">
        <w:t xml:space="preserve"> </w:t>
      </w:r>
      <w:r w:rsidRPr="009950C8">
        <w:t>руб.),</w:t>
      </w:r>
      <w:r w:rsidRPr="00995DE0">
        <w:t xml:space="preserve"> что составляет </w:t>
      </w:r>
      <w:r w:rsidR="00EF6EA5">
        <w:t>8</w:t>
      </w:r>
      <w:r w:rsidR="00951237">
        <w:t>,</w:t>
      </w:r>
      <w:r w:rsidR="00E748E8">
        <w:t>9</w:t>
      </w:r>
      <w:r w:rsidR="007E5BAB" w:rsidRPr="00995DE0">
        <w:t xml:space="preserve"> </w:t>
      </w:r>
      <w:r w:rsidR="00F61F04" w:rsidRPr="00995DE0">
        <w:t>%</w:t>
      </w:r>
      <w:r w:rsidRPr="00995DE0">
        <w:t xml:space="preserve"> от общей численности населения района.</w:t>
      </w:r>
    </w:p>
    <w:p w:rsidR="005960E2" w:rsidRPr="00995DE0" w:rsidRDefault="005960E2" w:rsidP="004B234B">
      <w:pPr>
        <w:jc w:val="both"/>
      </w:pPr>
      <w:r w:rsidRPr="00995DE0">
        <w:tab/>
        <w:t xml:space="preserve">В течение </w:t>
      </w:r>
      <w:r w:rsidR="007E5BAB" w:rsidRPr="00995DE0">
        <w:t>полугодия</w:t>
      </w:r>
      <w:r w:rsidRPr="00995DE0">
        <w:t xml:space="preserve"> выполнялись все нормативно-правовые акты федерального и о</w:t>
      </w:r>
      <w:r w:rsidRPr="00995DE0">
        <w:t>б</w:t>
      </w:r>
      <w:r w:rsidRPr="00995DE0">
        <w:t>ластного значения по социальной защите и поддержке населения.</w:t>
      </w:r>
    </w:p>
    <w:p w:rsidR="0042432E" w:rsidRDefault="00E61583" w:rsidP="004B234B">
      <w:pPr>
        <w:jc w:val="both"/>
      </w:pPr>
      <w:r w:rsidRPr="00995DE0">
        <w:tab/>
        <w:t xml:space="preserve">Средний размер пенсии по состоянию на 1 </w:t>
      </w:r>
      <w:r w:rsidR="00DA0175">
        <w:t>январ</w:t>
      </w:r>
      <w:r w:rsidR="00DF142D">
        <w:t xml:space="preserve">я </w:t>
      </w:r>
      <w:r w:rsidRPr="00995DE0">
        <w:t>201</w:t>
      </w:r>
      <w:r w:rsidR="00EB0F11">
        <w:t>3</w:t>
      </w:r>
      <w:r w:rsidRPr="00995DE0">
        <w:t xml:space="preserve"> года составил </w:t>
      </w:r>
      <w:r w:rsidR="003240CF" w:rsidRPr="00263F10">
        <w:t>8</w:t>
      </w:r>
      <w:r w:rsidR="00263F10" w:rsidRPr="00263F10">
        <w:t>687</w:t>
      </w:r>
      <w:r w:rsidR="003240CF" w:rsidRPr="00263F10">
        <w:t xml:space="preserve"> руб.</w:t>
      </w:r>
      <w:r w:rsidRPr="00263F10">
        <w:t xml:space="preserve">, это на </w:t>
      </w:r>
      <w:r w:rsidR="00DF142D" w:rsidRPr="00263F10">
        <w:t>7</w:t>
      </w:r>
      <w:r w:rsidR="00263F10" w:rsidRPr="00263F10">
        <w:t>5</w:t>
      </w:r>
      <w:r w:rsidRPr="00263F10">
        <w:t xml:space="preserve"> % выше прожиточного минимума пенсионера (4</w:t>
      </w:r>
      <w:r w:rsidR="00DF142D" w:rsidRPr="00263F10">
        <w:t>9</w:t>
      </w:r>
      <w:r w:rsidR="00DA0175" w:rsidRPr="00263F10">
        <w:t>64</w:t>
      </w:r>
      <w:r w:rsidRPr="00263F10">
        <w:t xml:space="preserve"> руб. ) и</w:t>
      </w:r>
      <w:r w:rsidRPr="00995DE0">
        <w:t xml:space="preserve"> </w:t>
      </w:r>
      <w:r w:rsidR="0042432E">
        <w:t xml:space="preserve">на </w:t>
      </w:r>
      <w:r w:rsidR="0042432E" w:rsidRPr="008B7F99">
        <w:t>1</w:t>
      </w:r>
      <w:r w:rsidR="008B7F99" w:rsidRPr="008B7F99">
        <w:t>1</w:t>
      </w:r>
      <w:r w:rsidR="0042432E">
        <w:t xml:space="preserve"> % </w:t>
      </w:r>
      <w:r w:rsidRPr="00995DE0">
        <w:t>аналогичн</w:t>
      </w:r>
      <w:r w:rsidRPr="00995DE0">
        <w:t>о</w:t>
      </w:r>
      <w:r w:rsidRPr="00995DE0">
        <w:t>го показателя 201</w:t>
      </w:r>
      <w:r w:rsidR="003240CF" w:rsidRPr="00995DE0">
        <w:t>1</w:t>
      </w:r>
      <w:r w:rsidRPr="00995DE0">
        <w:t xml:space="preserve"> года </w:t>
      </w:r>
      <w:r w:rsidR="0042432E">
        <w:t>.</w:t>
      </w:r>
    </w:p>
    <w:p w:rsidR="00951237" w:rsidRDefault="005960E2" w:rsidP="004B234B">
      <w:pPr>
        <w:jc w:val="both"/>
      </w:pPr>
      <w:r w:rsidRPr="00995DE0">
        <w:tab/>
        <w:t>Осуществлена реформа замены натуральных льгот по оплате жилья и коммунал</w:t>
      </w:r>
      <w:r w:rsidRPr="00995DE0">
        <w:t>ь</w:t>
      </w:r>
      <w:r w:rsidRPr="00995DE0">
        <w:t xml:space="preserve">ных услуг на ежемесячную денежную компенсацию. В районе проживает </w:t>
      </w:r>
      <w:r w:rsidR="00951237">
        <w:t>8,</w:t>
      </w:r>
      <w:r w:rsidR="001C2BA7">
        <w:t>8</w:t>
      </w:r>
      <w:r w:rsidR="004F7ACA" w:rsidRPr="00995DE0">
        <w:t xml:space="preserve"> тыс.</w:t>
      </w:r>
      <w:r w:rsidRPr="00995DE0">
        <w:t xml:space="preserve"> чел, п</w:t>
      </w:r>
      <w:r w:rsidRPr="00995DE0">
        <w:t>о</w:t>
      </w:r>
      <w:r w:rsidRPr="00995DE0">
        <w:t xml:space="preserve">лучающих льготы. Сумма возмещения и выплаты им компенсации составила </w:t>
      </w:r>
      <w:r w:rsidR="00951237">
        <w:t xml:space="preserve">за </w:t>
      </w:r>
      <w:r w:rsidR="004F7ACA" w:rsidRPr="00995DE0">
        <w:t xml:space="preserve"> </w:t>
      </w:r>
      <w:r w:rsidRPr="00995DE0">
        <w:t>201</w:t>
      </w:r>
      <w:r w:rsidR="00776604" w:rsidRPr="00995DE0">
        <w:t>2</w:t>
      </w:r>
      <w:r w:rsidRPr="00995DE0">
        <w:t xml:space="preserve"> г</w:t>
      </w:r>
      <w:r w:rsidRPr="00995DE0">
        <w:t>о</w:t>
      </w:r>
      <w:r w:rsidRPr="00995DE0">
        <w:t>д</w:t>
      </w:r>
      <w:r w:rsidR="004F7ACA" w:rsidRPr="00995DE0">
        <w:t xml:space="preserve">а </w:t>
      </w:r>
      <w:r w:rsidR="00951237">
        <w:t xml:space="preserve"> </w:t>
      </w:r>
      <w:r w:rsidR="001C2BA7">
        <w:t>78,2</w:t>
      </w:r>
      <w:r w:rsidR="0042432E">
        <w:t xml:space="preserve"> млн.руб.</w:t>
      </w:r>
      <w:r w:rsidR="00FE54DC">
        <w:t xml:space="preserve"> </w:t>
      </w:r>
      <w:r w:rsidRPr="00995DE0">
        <w:t xml:space="preserve">Малообеспеченным семьям с детьми выплачено </w:t>
      </w:r>
      <w:r w:rsidR="001C2BA7">
        <w:t>3,9</w:t>
      </w:r>
      <w:r w:rsidRPr="00995DE0">
        <w:t xml:space="preserve"> млн. руб. ежемесячных пос</w:t>
      </w:r>
      <w:r w:rsidRPr="00995DE0">
        <w:t>о</w:t>
      </w:r>
      <w:r w:rsidRPr="00995DE0">
        <w:t>бий</w:t>
      </w:r>
      <w:r w:rsidR="001C2BA7">
        <w:t xml:space="preserve"> и 6 млн.руб. пособий на рождение ребёнка и по уходу за ребёнком.</w:t>
      </w:r>
    </w:p>
    <w:p w:rsidR="00517D38" w:rsidRDefault="00517D38" w:rsidP="006207CF">
      <w:pPr>
        <w:jc w:val="both"/>
        <w:rPr>
          <w:b/>
        </w:rPr>
      </w:pPr>
      <w:r w:rsidRPr="00995DE0">
        <w:lastRenderedPageBreak/>
        <w:tab/>
        <w:t>Результат благотворительного марафона «Рождественский подарок- 201</w:t>
      </w:r>
      <w:r w:rsidR="00776604" w:rsidRPr="00995DE0">
        <w:t>2</w:t>
      </w:r>
      <w:r w:rsidRPr="00995DE0">
        <w:t xml:space="preserve">» </w:t>
      </w:r>
      <w:r w:rsidR="002C0847" w:rsidRPr="00995DE0">
        <w:t>составил 1,4 млн.руб.</w:t>
      </w:r>
      <w:r w:rsidR="00073F76" w:rsidRPr="00995DE0">
        <w:t xml:space="preserve"> Избранное в этом году направление послужило оказанию помощи береме</w:t>
      </w:r>
      <w:r w:rsidR="00073F76" w:rsidRPr="00995DE0">
        <w:t>н</w:t>
      </w:r>
      <w:r w:rsidR="00073F76" w:rsidRPr="00995DE0">
        <w:t>ным женщинам и новорождённым детям</w:t>
      </w:r>
      <w:r w:rsidR="004042F0" w:rsidRPr="00995DE0">
        <w:t>,</w:t>
      </w:r>
      <w:r w:rsidR="00073F76" w:rsidRPr="00995DE0">
        <w:t xml:space="preserve"> детям с ослабленным здоровьем , детским учр</w:t>
      </w:r>
      <w:r w:rsidR="00073F76" w:rsidRPr="00995DE0">
        <w:t>е</w:t>
      </w:r>
      <w:r w:rsidR="00073F76" w:rsidRPr="00995DE0">
        <w:t>ждениям  в организации занятости, досуга  и нравственного развития детей.</w:t>
      </w:r>
      <w:r w:rsidR="004042F0" w:rsidRPr="00995DE0">
        <w:t xml:space="preserve"> </w:t>
      </w:r>
      <w:r w:rsidR="00073F76" w:rsidRPr="00995DE0">
        <w:t>Адресная п</w:t>
      </w:r>
      <w:r w:rsidRPr="00995DE0">
        <w:t>о</w:t>
      </w:r>
      <w:r w:rsidRPr="00995DE0">
        <w:t xml:space="preserve">мощь </w:t>
      </w:r>
      <w:r w:rsidR="002C0847" w:rsidRPr="00995DE0">
        <w:t xml:space="preserve">оказана 216 </w:t>
      </w:r>
      <w:r w:rsidR="00C932C2" w:rsidRPr="00995DE0">
        <w:t xml:space="preserve">малоимущим семьям с </w:t>
      </w:r>
      <w:r w:rsidR="002C0847" w:rsidRPr="00995DE0">
        <w:t>младенцами и малоле</w:t>
      </w:r>
      <w:r w:rsidR="002C0847" w:rsidRPr="00995DE0">
        <w:t>т</w:t>
      </w:r>
      <w:r w:rsidR="002C0847" w:rsidRPr="00995DE0">
        <w:t xml:space="preserve">ними </w:t>
      </w:r>
      <w:r w:rsidR="00C932C2" w:rsidRPr="00995DE0">
        <w:t xml:space="preserve">детьми </w:t>
      </w:r>
      <w:r w:rsidR="002C0847" w:rsidRPr="00995DE0">
        <w:t>п</w:t>
      </w:r>
      <w:r w:rsidRPr="00995DE0">
        <w:t>о ремонту жилья, приобретению техники</w:t>
      </w:r>
      <w:r w:rsidR="00C932C2" w:rsidRPr="00995DE0">
        <w:t xml:space="preserve">, лекарств </w:t>
      </w:r>
      <w:r w:rsidRPr="00995DE0">
        <w:t xml:space="preserve"> и другим услугам.</w:t>
      </w:r>
      <w:r w:rsidR="00C932C2" w:rsidRPr="00995DE0">
        <w:t xml:space="preserve"> </w:t>
      </w:r>
      <w:r w:rsidR="002C0847" w:rsidRPr="00995DE0">
        <w:t>Всего</w:t>
      </w:r>
      <w:r w:rsidR="00C932C2" w:rsidRPr="00995DE0">
        <w:t xml:space="preserve"> помощь п</w:t>
      </w:r>
      <w:r w:rsidR="00C932C2" w:rsidRPr="00995DE0">
        <w:t>о</w:t>
      </w:r>
      <w:r w:rsidR="00C932C2" w:rsidRPr="00995DE0">
        <w:t xml:space="preserve">лучили </w:t>
      </w:r>
      <w:r w:rsidR="002C0847" w:rsidRPr="00995DE0">
        <w:t xml:space="preserve">617 </w:t>
      </w:r>
      <w:r w:rsidR="00C932C2" w:rsidRPr="00995DE0">
        <w:t xml:space="preserve"> </w:t>
      </w:r>
      <w:r w:rsidR="002C0847" w:rsidRPr="00995DE0">
        <w:t>ч</w:t>
      </w:r>
      <w:r w:rsidR="002C0847" w:rsidRPr="00995DE0">
        <w:t>е</w:t>
      </w:r>
      <w:r w:rsidR="002C0847" w:rsidRPr="00995DE0">
        <w:t>ловек</w:t>
      </w:r>
      <w:r w:rsidR="00C932C2" w:rsidRPr="00995DE0">
        <w:t>.</w:t>
      </w:r>
      <w:r w:rsidR="006207CF">
        <w:rPr>
          <w:b/>
        </w:rPr>
        <w:t xml:space="preserve"> </w:t>
      </w:r>
    </w:p>
    <w:p w:rsidR="008103E8" w:rsidRPr="00995DE0" w:rsidRDefault="008103E8" w:rsidP="00517D38">
      <w:pPr>
        <w:jc w:val="center"/>
        <w:rPr>
          <w:b/>
        </w:rPr>
      </w:pPr>
    </w:p>
    <w:p w:rsidR="00A62775" w:rsidRDefault="00A62775" w:rsidP="00517D38">
      <w:pPr>
        <w:jc w:val="center"/>
        <w:rPr>
          <w:b/>
        </w:rPr>
      </w:pPr>
      <w:r w:rsidRPr="00995DE0">
        <w:rPr>
          <w:b/>
        </w:rPr>
        <w:t>МАЛЫЙ БИЗНЕС.</w:t>
      </w:r>
    </w:p>
    <w:p w:rsidR="008103E8" w:rsidRPr="00995DE0" w:rsidRDefault="008103E8" w:rsidP="00517D38">
      <w:pPr>
        <w:jc w:val="center"/>
        <w:rPr>
          <w:b/>
        </w:rPr>
      </w:pPr>
    </w:p>
    <w:p w:rsidR="008103E8" w:rsidRPr="007237EA" w:rsidRDefault="007237EA" w:rsidP="007237EA">
      <w:pPr>
        <w:jc w:val="both"/>
      </w:pPr>
      <w:r>
        <w:rPr>
          <w:i/>
          <w:sz w:val="28"/>
          <w:szCs w:val="28"/>
        </w:rPr>
        <w:tab/>
      </w:r>
      <w:r w:rsidR="008103E8" w:rsidRPr="007237EA">
        <w:t>На территории района зарегистрировано 190 малых и средних пре</w:t>
      </w:r>
      <w:r w:rsidR="008103E8" w:rsidRPr="007237EA">
        <w:t>д</w:t>
      </w:r>
      <w:r w:rsidR="008103E8" w:rsidRPr="007237EA">
        <w:t>приятий  из них осуществл</w:t>
      </w:r>
      <w:r w:rsidR="008103E8" w:rsidRPr="007237EA">
        <w:t>я</w:t>
      </w:r>
      <w:r w:rsidR="008103E8" w:rsidRPr="007237EA">
        <w:t>ет деятельность – 117</w:t>
      </w:r>
      <w:r>
        <w:t>,</w:t>
      </w:r>
      <w:r w:rsidR="008103E8" w:rsidRPr="007237EA">
        <w:t>средних – 1</w:t>
      </w:r>
      <w:r>
        <w:t>,</w:t>
      </w:r>
      <w:r w:rsidR="008103E8" w:rsidRPr="007237EA">
        <w:t>малых – 189 из них микро – 156</w:t>
      </w:r>
      <w:r>
        <w:t>;</w:t>
      </w:r>
    </w:p>
    <w:p w:rsidR="008103E8" w:rsidRPr="007237EA" w:rsidRDefault="008103E8" w:rsidP="008103E8">
      <w:r w:rsidRPr="007237EA">
        <w:t>число работников – 1752 чел</w:t>
      </w:r>
      <w:r w:rsidR="007237EA">
        <w:t>.</w:t>
      </w:r>
    </w:p>
    <w:p w:rsidR="008103E8" w:rsidRPr="007237EA" w:rsidRDefault="008103E8" w:rsidP="008103E8">
      <w:r w:rsidRPr="007237EA">
        <w:t>Индивидуальных предпринимателей зарегистрировано 590 чел, из них осуществляет де</w:t>
      </w:r>
      <w:r w:rsidRPr="007237EA">
        <w:t>я</w:t>
      </w:r>
      <w:r w:rsidRPr="007237EA">
        <w:t>тел</w:t>
      </w:r>
      <w:r w:rsidRPr="007237EA">
        <w:t>ь</w:t>
      </w:r>
      <w:r w:rsidRPr="007237EA">
        <w:t xml:space="preserve">ность 439 </w:t>
      </w:r>
      <w:r w:rsidR="007237EA">
        <w:t>;</w:t>
      </w:r>
      <w:r w:rsidRPr="007237EA">
        <w:t>число работников  – 940 чел. в том числе наемных – 356</w:t>
      </w:r>
    </w:p>
    <w:p w:rsidR="00A62775" w:rsidRPr="00995DE0" w:rsidRDefault="00A62775" w:rsidP="00A62775">
      <w:r w:rsidRPr="00995DE0">
        <w:rPr>
          <w:sz w:val="28"/>
          <w:szCs w:val="28"/>
        </w:rPr>
        <w:t xml:space="preserve">         </w:t>
      </w:r>
      <w:r w:rsidRPr="00995DE0">
        <w:t>В районе разработана Программа развития малого  и среднего предпр</w:t>
      </w:r>
      <w:r w:rsidRPr="00995DE0">
        <w:t>и</w:t>
      </w:r>
      <w:r w:rsidRPr="00995DE0">
        <w:t xml:space="preserve">нимательства на 2011-2013 годы. </w:t>
      </w:r>
      <w:r w:rsidR="00391C0D" w:rsidRPr="00995DE0">
        <w:t>Г</w:t>
      </w:r>
      <w:r w:rsidRPr="00995DE0">
        <w:t xml:space="preserve">одовое финансирование Программы  </w:t>
      </w:r>
      <w:r w:rsidR="00391C0D" w:rsidRPr="00995DE0">
        <w:t>из</w:t>
      </w:r>
      <w:r w:rsidRPr="00995DE0">
        <w:t xml:space="preserve"> районно</w:t>
      </w:r>
      <w:r w:rsidR="00391C0D" w:rsidRPr="00995DE0">
        <w:t>го</w:t>
      </w:r>
      <w:r w:rsidRPr="00995DE0">
        <w:t xml:space="preserve"> бюджет</w:t>
      </w:r>
      <w:r w:rsidR="00391C0D" w:rsidRPr="00995DE0">
        <w:t>а</w:t>
      </w:r>
      <w:r w:rsidRPr="00995DE0">
        <w:t xml:space="preserve"> </w:t>
      </w:r>
      <w:r w:rsidR="00391C0D" w:rsidRPr="00995DE0">
        <w:t>соста</w:t>
      </w:r>
      <w:r w:rsidR="00391C0D" w:rsidRPr="00995DE0">
        <w:t>в</w:t>
      </w:r>
      <w:r w:rsidR="00391C0D" w:rsidRPr="00995DE0">
        <w:t>ляет</w:t>
      </w:r>
      <w:r w:rsidR="00B05013" w:rsidRPr="00995DE0">
        <w:t xml:space="preserve"> – </w:t>
      </w:r>
      <w:r w:rsidRPr="00995DE0">
        <w:t xml:space="preserve"> </w:t>
      </w:r>
      <w:r w:rsidR="00B05013" w:rsidRPr="00995DE0">
        <w:t>5</w:t>
      </w:r>
      <w:r w:rsidRPr="00995DE0">
        <w:t>00 тыс.рублей.</w:t>
      </w:r>
      <w:r w:rsidR="00B05013" w:rsidRPr="00995DE0">
        <w:t xml:space="preserve"> Софина</w:t>
      </w:r>
      <w:r w:rsidR="00804E99" w:rsidRPr="00995DE0">
        <w:t>н</w:t>
      </w:r>
      <w:r w:rsidR="00B05013" w:rsidRPr="00995DE0">
        <w:t>сирование из областного бюджета- 508,5 тыс.руб</w:t>
      </w:r>
      <w:r w:rsidR="0042432E">
        <w:t>.</w:t>
      </w:r>
      <w:r w:rsidR="00B05013" w:rsidRPr="00995DE0">
        <w:t>, из ф</w:t>
      </w:r>
      <w:r w:rsidR="00B05013" w:rsidRPr="00995DE0">
        <w:t>е</w:t>
      </w:r>
      <w:r w:rsidR="00B05013" w:rsidRPr="00995DE0">
        <w:t>дерального – 2</w:t>
      </w:r>
      <w:r w:rsidR="00804E99" w:rsidRPr="00995DE0">
        <w:t xml:space="preserve">033,9 </w:t>
      </w:r>
      <w:r w:rsidR="00B05013" w:rsidRPr="00995DE0">
        <w:t xml:space="preserve">тыс.руб. </w:t>
      </w:r>
      <w:r w:rsidRPr="00995DE0">
        <w:t>Основная часть средств  направлена на выделение гра</w:t>
      </w:r>
      <w:r w:rsidRPr="00995DE0">
        <w:t>н</w:t>
      </w:r>
      <w:r w:rsidRPr="00995DE0">
        <w:t xml:space="preserve">тов предпринимателям, организующим свой бизнес в сферах производства продукции, </w:t>
      </w:r>
      <w:r w:rsidR="000E56F5" w:rsidRPr="00995DE0">
        <w:t>сел</w:t>
      </w:r>
      <w:r w:rsidR="000E56F5" w:rsidRPr="00995DE0">
        <w:t>ь</w:t>
      </w:r>
      <w:r w:rsidR="000E56F5" w:rsidRPr="00995DE0">
        <w:t xml:space="preserve">скохозяйственного производства, </w:t>
      </w:r>
      <w:r w:rsidRPr="00995DE0">
        <w:t xml:space="preserve"> оказании бытовых услуг и развитии туризма.</w:t>
      </w:r>
      <w:r w:rsidR="00042782">
        <w:t xml:space="preserve"> </w:t>
      </w:r>
      <w:r w:rsidR="0021130C">
        <w:t>С н</w:t>
      </w:r>
      <w:r w:rsidR="0021130C">
        <w:t>а</w:t>
      </w:r>
      <w:r w:rsidR="0021130C">
        <w:t xml:space="preserve">чала года  </w:t>
      </w:r>
      <w:r w:rsidR="00F6113E">
        <w:t xml:space="preserve">получено 18 грантов </w:t>
      </w:r>
      <w:r w:rsidR="001D5755">
        <w:t xml:space="preserve"> на общую сумму </w:t>
      </w:r>
      <w:r w:rsidR="00F6113E">
        <w:t>3042,4</w:t>
      </w:r>
      <w:r w:rsidR="00D3142B">
        <w:t xml:space="preserve"> тыс.руб.</w:t>
      </w:r>
      <w:r w:rsidR="008103E8">
        <w:t xml:space="preserve"> ( в 2011 году- 6 грантов на сумму 1313,2 тыс.руб.)</w:t>
      </w:r>
    </w:p>
    <w:p w:rsidR="007237EA" w:rsidRPr="00995DE0" w:rsidRDefault="00BB503D" w:rsidP="00B05013">
      <w:r w:rsidRPr="00995DE0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098"/>
        <w:gridCol w:w="1326"/>
        <w:gridCol w:w="1309"/>
        <w:gridCol w:w="1125"/>
        <w:gridCol w:w="1125"/>
      </w:tblGrid>
      <w:tr w:rsidR="007237EA" w:rsidRPr="002B5617" w:rsidTr="003F0621">
        <w:tc>
          <w:tcPr>
            <w:tcW w:w="2808" w:type="dxa"/>
          </w:tcPr>
          <w:p w:rsidR="007237EA" w:rsidRPr="007237EA" w:rsidRDefault="007237EA" w:rsidP="003F0621">
            <w:pPr>
              <w:jc w:val="center"/>
            </w:pPr>
            <w:r w:rsidRPr="007237EA">
              <w:t>Наименование показат</w:t>
            </w:r>
            <w:r w:rsidRPr="007237EA">
              <w:t>е</w:t>
            </w:r>
            <w:r w:rsidRPr="007237EA">
              <w:t>ля</w:t>
            </w:r>
          </w:p>
        </w:tc>
        <w:tc>
          <w:tcPr>
            <w:tcW w:w="1098" w:type="dxa"/>
          </w:tcPr>
          <w:p w:rsidR="007237EA" w:rsidRPr="007237EA" w:rsidRDefault="007237EA" w:rsidP="003F0621">
            <w:pPr>
              <w:jc w:val="center"/>
            </w:pPr>
            <w:r w:rsidRPr="007237EA">
              <w:t>ед.изм.</w:t>
            </w:r>
          </w:p>
        </w:tc>
        <w:tc>
          <w:tcPr>
            <w:tcW w:w="1326" w:type="dxa"/>
          </w:tcPr>
          <w:p w:rsidR="007237EA" w:rsidRPr="007237EA" w:rsidRDefault="007237EA" w:rsidP="003F0621">
            <w:pPr>
              <w:jc w:val="center"/>
            </w:pPr>
            <w:r w:rsidRPr="007237EA">
              <w:t>2010</w:t>
            </w:r>
          </w:p>
        </w:tc>
        <w:tc>
          <w:tcPr>
            <w:tcW w:w="1309" w:type="dxa"/>
          </w:tcPr>
          <w:p w:rsidR="007237EA" w:rsidRPr="007237EA" w:rsidRDefault="007237EA" w:rsidP="003F0621">
            <w:pPr>
              <w:jc w:val="center"/>
            </w:pPr>
            <w:r w:rsidRPr="007237EA">
              <w:t>2011</w:t>
            </w:r>
          </w:p>
          <w:p w:rsidR="007237EA" w:rsidRPr="007237EA" w:rsidRDefault="007237EA" w:rsidP="003F0621">
            <w:pPr>
              <w:jc w:val="center"/>
            </w:pPr>
            <w:r w:rsidRPr="007237EA">
              <w:t>год</w:t>
            </w:r>
          </w:p>
        </w:tc>
        <w:tc>
          <w:tcPr>
            <w:tcW w:w="1125" w:type="dxa"/>
          </w:tcPr>
          <w:p w:rsidR="007237EA" w:rsidRPr="007237EA" w:rsidRDefault="007237EA" w:rsidP="003F0621">
            <w:pPr>
              <w:jc w:val="center"/>
            </w:pPr>
            <w:r w:rsidRPr="007237EA">
              <w:t>план 2012</w:t>
            </w:r>
          </w:p>
        </w:tc>
        <w:tc>
          <w:tcPr>
            <w:tcW w:w="1125" w:type="dxa"/>
          </w:tcPr>
          <w:p w:rsidR="007237EA" w:rsidRPr="007237EA" w:rsidRDefault="007237EA" w:rsidP="003F0621">
            <w:pPr>
              <w:jc w:val="center"/>
            </w:pPr>
            <w:r w:rsidRPr="007237EA">
              <w:t>2012</w:t>
            </w:r>
          </w:p>
        </w:tc>
      </w:tr>
      <w:tr w:rsidR="007237EA" w:rsidTr="003F0621">
        <w:tc>
          <w:tcPr>
            <w:tcW w:w="2808" w:type="dxa"/>
          </w:tcPr>
          <w:p w:rsidR="007237EA" w:rsidRPr="007237EA" w:rsidRDefault="007237EA" w:rsidP="003F0621">
            <w:pPr>
              <w:jc w:val="center"/>
            </w:pPr>
            <w:r w:rsidRPr="007237EA">
              <w:t>Объем расходов бюдж</w:t>
            </w:r>
            <w:r w:rsidRPr="007237EA">
              <w:t>е</w:t>
            </w:r>
            <w:r w:rsidRPr="007237EA">
              <w:t>тов всех уро</w:t>
            </w:r>
            <w:r w:rsidRPr="007237EA">
              <w:t>в</w:t>
            </w:r>
            <w:r w:rsidRPr="007237EA">
              <w:t xml:space="preserve">ней </w:t>
            </w:r>
          </w:p>
        </w:tc>
        <w:tc>
          <w:tcPr>
            <w:tcW w:w="1098" w:type="dxa"/>
          </w:tcPr>
          <w:p w:rsidR="007237EA" w:rsidRPr="007237EA" w:rsidRDefault="007237EA" w:rsidP="003F0621">
            <w:pPr>
              <w:jc w:val="center"/>
            </w:pPr>
            <w:r w:rsidRPr="007237EA">
              <w:t>руб. на 1 жит</w:t>
            </w:r>
            <w:r w:rsidRPr="007237EA">
              <w:t>е</w:t>
            </w:r>
            <w:r w:rsidRPr="007237EA">
              <w:t>ля</w:t>
            </w:r>
          </w:p>
        </w:tc>
        <w:tc>
          <w:tcPr>
            <w:tcW w:w="1326" w:type="dxa"/>
          </w:tcPr>
          <w:p w:rsidR="007237EA" w:rsidRPr="007237EA" w:rsidRDefault="007237EA" w:rsidP="003F0621">
            <w:pPr>
              <w:jc w:val="center"/>
            </w:pPr>
            <w:r w:rsidRPr="007237EA">
              <w:t>0,75</w:t>
            </w:r>
          </w:p>
        </w:tc>
        <w:tc>
          <w:tcPr>
            <w:tcW w:w="1309" w:type="dxa"/>
          </w:tcPr>
          <w:p w:rsidR="007237EA" w:rsidRPr="007237EA" w:rsidRDefault="007237EA" w:rsidP="003F0621">
            <w:pPr>
              <w:jc w:val="center"/>
            </w:pPr>
            <w:r w:rsidRPr="007237EA">
              <w:t>49,14</w:t>
            </w:r>
          </w:p>
        </w:tc>
        <w:tc>
          <w:tcPr>
            <w:tcW w:w="1125" w:type="dxa"/>
          </w:tcPr>
          <w:p w:rsidR="007237EA" w:rsidRPr="007237EA" w:rsidRDefault="007237EA" w:rsidP="003F0621">
            <w:pPr>
              <w:jc w:val="center"/>
            </w:pPr>
          </w:p>
        </w:tc>
        <w:tc>
          <w:tcPr>
            <w:tcW w:w="1125" w:type="dxa"/>
          </w:tcPr>
          <w:p w:rsidR="007237EA" w:rsidRPr="007237EA" w:rsidRDefault="007237EA" w:rsidP="003F0621">
            <w:pPr>
              <w:jc w:val="center"/>
            </w:pPr>
            <w:r w:rsidRPr="007237EA">
              <w:t>119,01</w:t>
            </w:r>
          </w:p>
        </w:tc>
      </w:tr>
      <w:tr w:rsidR="007237EA" w:rsidTr="003F0621">
        <w:tc>
          <w:tcPr>
            <w:tcW w:w="2808" w:type="dxa"/>
          </w:tcPr>
          <w:p w:rsidR="007237EA" w:rsidRPr="007237EA" w:rsidRDefault="007237EA" w:rsidP="003F0621">
            <w:pPr>
              <w:jc w:val="center"/>
            </w:pPr>
            <w:r w:rsidRPr="007237EA">
              <w:t>В т.ч. средства бю</w:t>
            </w:r>
            <w:r w:rsidRPr="007237EA">
              <w:t>д</w:t>
            </w:r>
            <w:r w:rsidRPr="007237EA">
              <w:t>жета ра</w:t>
            </w:r>
            <w:r w:rsidRPr="007237EA">
              <w:t>й</w:t>
            </w:r>
            <w:r w:rsidRPr="007237EA">
              <w:t>она</w:t>
            </w:r>
          </w:p>
        </w:tc>
        <w:tc>
          <w:tcPr>
            <w:tcW w:w="1098" w:type="dxa"/>
          </w:tcPr>
          <w:p w:rsidR="007237EA" w:rsidRPr="007237EA" w:rsidRDefault="007237EA" w:rsidP="003F0621">
            <w:pPr>
              <w:jc w:val="center"/>
            </w:pPr>
            <w:r w:rsidRPr="007237EA">
              <w:t>руб. на 1 жит</w:t>
            </w:r>
            <w:r w:rsidRPr="007237EA">
              <w:t>е</w:t>
            </w:r>
            <w:r w:rsidRPr="007237EA">
              <w:t>ля</w:t>
            </w:r>
          </w:p>
        </w:tc>
        <w:tc>
          <w:tcPr>
            <w:tcW w:w="1326" w:type="dxa"/>
          </w:tcPr>
          <w:p w:rsidR="007237EA" w:rsidRPr="007237EA" w:rsidRDefault="007237EA" w:rsidP="003F0621">
            <w:pPr>
              <w:jc w:val="center"/>
            </w:pPr>
            <w:r w:rsidRPr="007237EA">
              <w:t>0,39</w:t>
            </w:r>
          </w:p>
        </w:tc>
        <w:tc>
          <w:tcPr>
            <w:tcW w:w="1309" w:type="dxa"/>
          </w:tcPr>
          <w:p w:rsidR="007237EA" w:rsidRPr="007237EA" w:rsidRDefault="007237EA" w:rsidP="003F0621">
            <w:pPr>
              <w:jc w:val="center"/>
            </w:pPr>
            <w:r w:rsidRPr="007237EA">
              <w:t>11,40</w:t>
            </w:r>
          </w:p>
        </w:tc>
        <w:tc>
          <w:tcPr>
            <w:tcW w:w="1125" w:type="dxa"/>
          </w:tcPr>
          <w:p w:rsidR="007237EA" w:rsidRPr="007237EA" w:rsidRDefault="007237EA" w:rsidP="003F0621">
            <w:pPr>
              <w:jc w:val="center"/>
            </w:pPr>
            <w:r w:rsidRPr="007237EA">
              <w:t>15,2</w:t>
            </w:r>
          </w:p>
        </w:tc>
        <w:tc>
          <w:tcPr>
            <w:tcW w:w="1125" w:type="dxa"/>
          </w:tcPr>
          <w:p w:rsidR="007237EA" w:rsidRPr="007237EA" w:rsidRDefault="007237EA" w:rsidP="003F0621">
            <w:pPr>
              <w:jc w:val="center"/>
            </w:pPr>
            <w:r w:rsidRPr="007237EA">
              <w:t>19,56</w:t>
            </w:r>
          </w:p>
        </w:tc>
      </w:tr>
    </w:tbl>
    <w:p w:rsidR="00391C0D" w:rsidRPr="00995DE0" w:rsidRDefault="00391C0D" w:rsidP="00B05013"/>
    <w:p w:rsidR="00DD5AC0" w:rsidRPr="00995DE0" w:rsidRDefault="00DD5AC0" w:rsidP="004B234B">
      <w:pPr>
        <w:jc w:val="both"/>
      </w:pPr>
    </w:p>
    <w:p w:rsidR="00AA1671" w:rsidRPr="00995DE0" w:rsidRDefault="00AA1671" w:rsidP="004B234B">
      <w:pPr>
        <w:jc w:val="both"/>
      </w:pPr>
    </w:p>
    <w:p w:rsidR="00AA1671" w:rsidRPr="00995DE0" w:rsidRDefault="00AA1671" w:rsidP="004B234B">
      <w:pPr>
        <w:jc w:val="both"/>
      </w:pPr>
      <w:r w:rsidRPr="00995DE0">
        <w:t xml:space="preserve">Председатель комитета экономического развития </w:t>
      </w:r>
    </w:p>
    <w:p w:rsidR="00AA1671" w:rsidRPr="000852ED" w:rsidRDefault="00AA1671" w:rsidP="004B234B">
      <w:pPr>
        <w:jc w:val="both"/>
      </w:pPr>
      <w:r w:rsidRPr="00995DE0">
        <w:t xml:space="preserve">Администрации муниципального района                                   </w:t>
      </w:r>
      <w:r w:rsidR="00DE44E5" w:rsidRPr="00995DE0">
        <w:t xml:space="preserve">  </w:t>
      </w:r>
      <w:r w:rsidRPr="00995DE0">
        <w:t xml:space="preserve">                     </w:t>
      </w:r>
      <w:r w:rsidR="00DE44E5" w:rsidRPr="00995DE0">
        <w:t>Г.В.Ерцева</w:t>
      </w:r>
    </w:p>
    <w:sectPr w:rsidR="00AA1671" w:rsidRPr="000852ED" w:rsidSect="00D709DD">
      <w:footerReference w:type="even" r:id="rId12"/>
      <w:footerReference w:type="default" r:id="rId13"/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941" w:rsidRDefault="00514941">
      <w:r>
        <w:separator/>
      </w:r>
    </w:p>
  </w:endnote>
  <w:endnote w:type="continuationSeparator" w:id="0">
    <w:p w:rsidR="00514941" w:rsidRDefault="0051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8F" w:rsidRDefault="005A5C8F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8F" w:rsidRDefault="005A5C8F" w:rsidP="001B23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8F" w:rsidRDefault="005A5C8F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6E81">
      <w:rPr>
        <w:rStyle w:val="a7"/>
        <w:noProof/>
      </w:rPr>
      <w:t>1</w:t>
    </w:r>
    <w:r>
      <w:rPr>
        <w:rStyle w:val="a7"/>
      </w:rPr>
      <w:fldChar w:fldCharType="end"/>
    </w:r>
  </w:p>
  <w:p w:rsidR="005A5C8F" w:rsidRDefault="005A5C8F" w:rsidP="001B23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941" w:rsidRDefault="00514941">
      <w:r>
        <w:separator/>
      </w:r>
    </w:p>
  </w:footnote>
  <w:footnote w:type="continuationSeparator" w:id="0">
    <w:p w:rsidR="00514941" w:rsidRDefault="0051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017"/>
    <w:multiLevelType w:val="singleLevel"/>
    <w:tmpl w:val="43382F5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5F"/>
    <w:rsid w:val="00000DB2"/>
    <w:rsid w:val="00000E4E"/>
    <w:rsid w:val="00010DA9"/>
    <w:rsid w:val="00011D2D"/>
    <w:rsid w:val="00013461"/>
    <w:rsid w:val="000134B2"/>
    <w:rsid w:val="00015F2D"/>
    <w:rsid w:val="00017532"/>
    <w:rsid w:val="00021504"/>
    <w:rsid w:val="000219BB"/>
    <w:rsid w:val="00024293"/>
    <w:rsid w:val="000269B6"/>
    <w:rsid w:val="00032614"/>
    <w:rsid w:val="00032CAB"/>
    <w:rsid w:val="00037345"/>
    <w:rsid w:val="000406F3"/>
    <w:rsid w:val="000421BD"/>
    <w:rsid w:val="00042782"/>
    <w:rsid w:val="00044E9C"/>
    <w:rsid w:val="000450F3"/>
    <w:rsid w:val="00051378"/>
    <w:rsid w:val="00053612"/>
    <w:rsid w:val="00055642"/>
    <w:rsid w:val="0006227C"/>
    <w:rsid w:val="00062B3A"/>
    <w:rsid w:val="000635EA"/>
    <w:rsid w:val="00064C80"/>
    <w:rsid w:val="00070E15"/>
    <w:rsid w:val="000718C4"/>
    <w:rsid w:val="00073F76"/>
    <w:rsid w:val="00075E29"/>
    <w:rsid w:val="000852ED"/>
    <w:rsid w:val="00092577"/>
    <w:rsid w:val="00092D79"/>
    <w:rsid w:val="00096A75"/>
    <w:rsid w:val="00097A3C"/>
    <w:rsid w:val="000A1418"/>
    <w:rsid w:val="000A1FC5"/>
    <w:rsid w:val="000A3D06"/>
    <w:rsid w:val="000A543C"/>
    <w:rsid w:val="000A5AEF"/>
    <w:rsid w:val="000A77CC"/>
    <w:rsid w:val="000B03D4"/>
    <w:rsid w:val="000B242F"/>
    <w:rsid w:val="000B78B9"/>
    <w:rsid w:val="000C06ED"/>
    <w:rsid w:val="000C168A"/>
    <w:rsid w:val="000C1F34"/>
    <w:rsid w:val="000C5F54"/>
    <w:rsid w:val="000D28D2"/>
    <w:rsid w:val="000E03B2"/>
    <w:rsid w:val="000E27E5"/>
    <w:rsid w:val="000E56F5"/>
    <w:rsid w:val="000E6AFC"/>
    <w:rsid w:val="000F40E6"/>
    <w:rsid w:val="000F6AF0"/>
    <w:rsid w:val="000F6DC1"/>
    <w:rsid w:val="0010119F"/>
    <w:rsid w:val="00101964"/>
    <w:rsid w:val="001019D9"/>
    <w:rsid w:val="00114748"/>
    <w:rsid w:val="0012678F"/>
    <w:rsid w:val="00127217"/>
    <w:rsid w:val="00130F0A"/>
    <w:rsid w:val="001318E4"/>
    <w:rsid w:val="0014005F"/>
    <w:rsid w:val="0014193F"/>
    <w:rsid w:val="00141BEB"/>
    <w:rsid w:val="00142C7F"/>
    <w:rsid w:val="0014564A"/>
    <w:rsid w:val="00146E49"/>
    <w:rsid w:val="00153C1C"/>
    <w:rsid w:val="00156D44"/>
    <w:rsid w:val="00160FF8"/>
    <w:rsid w:val="00161CB6"/>
    <w:rsid w:val="001652CE"/>
    <w:rsid w:val="00171B1E"/>
    <w:rsid w:val="001728BD"/>
    <w:rsid w:val="00176B56"/>
    <w:rsid w:val="001822B6"/>
    <w:rsid w:val="00193EB2"/>
    <w:rsid w:val="001A1F05"/>
    <w:rsid w:val="001A5D64"/>
    <w:rsid w:val="001A699B"/>
    <w:rsid w:val="001B239B"/>
    <w:rsid w:val="001B3649"/>
    <w:rsid w:val="001B4954"/>
    <w:rsid w:val="001C0E41"/>
    <w:rsid w:val="001C196B"/>
    <w:rsid w:val="001C20F1"/>
    <w:rsid w:val="001C2BA7"/>
    <w:rsid w:val="001C4ACC"/>
    <w:rsid w:val="001D3853"/>
    <w:rsid w:val="001D5755"/>
    <w:rsid w:val="001E0341"/>
    <w:rsid w:val="001E111A"/>
    <w:rsid w:val="001E1E7E"/>
    <w:rsid w:val="001F0560"/>
    <w:rsid w:val="001F3768"/>
    <w:rsid w:val="0020407D"/>
    <w:rsid w:val="002049D8"/>
    <w:rsid w:val="00207E60"/>
    <w:rsid w:val="00210B86"/>
    <w:rsid w:val="0021130C"/>
    <w:rsid w:val="00212486"/>
    <w:rsid w:val="00213B8B"/>
    <w:rsid w:val="00216607"/>
    <w:rsid w:val="00217ADB"/>
    <w:rsid w:val="002224F7"/>
    <w:rsid w:val="00237354"/>
    <w:rsid w:val="002436D8"/>
    <w:rsid w:val="00256A21"/>
    <w:rsid w:val="002601DD"/>
    <w:rsid w:val="00260A5D"/>
    <w:rsid w:val="00261C65"/>
    <w:rsid w:val="00263F10"/>
    <w:rsid w:val="002716BB"/>
    <w:rsid w:val="00272A46"/>
    <w:rsid w:val="00274F45"/>
    <w:rsid w:val="00275321"/>
    <w:rsid w:val="0029291F"/>
    <w:rsid w:val="0029774D"/>
    <w:rsid w:val="00297B84"/>
    <w:rsid w:val="002A067A"/>
    <w:rsid w:val="002A1348"/>
    <w:rsid w:val="002A47DE"/>
    <w:rsid w:val="002A4974"/>
    <w:rsid w:val="002A4B58"/>
    <w:rsid w:val="002B0C00"/>
    <w:rsid w:val="002B1A83"/>
    <w:rsid w:val="002B21CD"/>
    <w:rsid w:val="002B2446"/>
    <w:rsid w:val="002B65B1"/>
    <w:rsid w:val="002C04DE"/>
    <w:rsid w:val="002C0847"/>
    <w:rsid w:val="002D153A"/>
    <w:rsid w:val="002D3127"/>
    <w:rsid w:val="002D4052"/>
    <w:rsid w:val="002D435D"/>
    <w:rsid w:val="002E2504"/>
    <w:rsid w:val="002F32FC"/>
    <w:rsid w:val="00304E1F"/>
    <w:rsid w:val="003114A7"/>
    <w:rsid w:val="003145DC"/>
    <w:rsid w:val="003154EC"/>
    <w:rsid w:val="0031571C"/>
    <w:rsid w:val="00317A62"/>
    <w:rsid w:val="00317EC8"/>
    <w:rsid w:val="003240CF"/>
    <w:rsid w:val="0032410C"/>
    <w:rsid w:val="00325B0C"/>
    <w:rsid w:val="0032772A"/>
    <w:rsid w:val="003336A1"/>
    <w:rsid w:val="003336B4"/>
    <w:rsid w:val="003344BD"/>
    <w:rsid w:val="00334ECE"/>
    <w:rsid w:val="003364FE"/>
    <w:rsid w:val="00336E81"/>
    <w:rsid w:val="00336EFE"/>
    <w:rsid w:val="003401BE"/>
    <w:rsid w:val="00340203"/>
    <w:rsid w:val="003403F8"/>
    <w:rsid w:val="00341B12"/>
    <w:rsid w:val="0034529A"/>
    <w:rsid w:val="00347530"/>
    <w:rsid w:val="003542AE"/>
    <w:rsid w:val="00364B0E"/>
    <w:rsid w:val="00365020"/>
    <w:rsid w:val="0036652A"/>
    <w:rsid w:val="003729AA"/>
    <w:rsid w:val="00372AFB"/>
    <w:rsid w:val="0037330D"/>
    <w:rsid w:val="0037418B"/>
    <w:rsid w:val="00375812"/>
    <w:rsid w:val="00380080"/>
    <w:rsid w:val="00380F1B"/>
    <w:rsid w:val="00383B74"/>
    <w:rsid w:val="00384605"/>
    <w:rsid w:val="00391C0D"/>
    <w:rsid w:val="00393E65"/>
    <w:rsid w:val="00396FA4"/>
    <w:rsid w:val="003B1A7F"/>
    <w:rsid w:val="003B1F3D"/>
    <w:rsid w:val="003B48FE"/>
    <w:rsid w:val="003B505B"/>
    <w:rsid w:val="003B6672"/>
    <w:rsid w:val="003B67AA"/>
    <w:rsid w:val="003B6E48"/>
    <w:rsid w:val="003D149E"/>
    <w:rsid w:val="003D4012"/>
    <w:rsid w:val="003D5742"/>
    <w:rsid w:val="003D7124"/>
    <w:rsid w:val="003E0A4D"/>
    <w:rsid w:val="003E16E7"/>
    <w:rsid w:val="003F0621"/>
    <w:rsid w:val="003F6BDD"/>
    <w:rsid w:val="00404094"/>
    <w:rsid w:val="004042F0"/>
    <w:rsid w:val="0041740A"/>
    <w:rsid w:val="004221A8"/>
    <w:rsid w:val="0042432E"/>
    <w:rsid w:val="004317FE"/>
    <w:rsid w:val="00433527"/>
    <w:rsid w:val="00437B27"/>
    <w:rsid w:val="004420D8"/>
    <w:rsid w:val="00446373"/>
    <w:rsid w:val="00447714"/>
    <w:rsid w:val="00452C60"/>
    <w:rsid w:val="00454C93"/>
    <w:rsid w:val="00461597"/>
    <w:rsid w:val="00461969"/>
    <w:rsid w:val="00461C2C"/>
    <w:rsid w:val="00462845"/>
    <w:rsid w:val="0046293A"/>
    <w:rsid w:val="004641F2"/>
    <w:rsid w:val="0046782C"/>
    <w:rsid w:val="0047277B"/>
    <w:rsid w:val="00477136"/>
    <w:rsid w:val="00480304"/>
    <w:rsid w:val="00480ABE"/>
    <w:rsid w:val="0048385D"/>
    <w:rsid w:val="00483BC3"/>
    <w:rsid w:val="004841F4"/>
    <w:rsid w:val="00497370"/>
    <w:rsid w:val="00497EE3"/>
    <w:rsid w:val="004A1E5D"/>
    <w:rsid w:val="004A2782"/>
    <w:rsid w:val="004A56A7"/>
    <w:rsid w:val="004B0EFE"/>
    <w:rsid w:val="004B234B"/>
    <w:rsid w:val="004C6CD6"/>
    <w:rsid w:val="004C7F56"/>
    <w:rsid w:val="004D0D60"/>
    <w:rsid w:val="004E5162"/>
    <w:rsid w:val="004F0D7C"/>
    <w:rsid w:val="004F1EBB"/>
    <w:rsid w:val="004F63EF"/>
    <w:rsid w:val="004F7ACA"/>
    <w:rsid w:val="004F7EDE"/>
    <w:rsid w:val="00500170"/>
    <w:rsid w:val="005010A3"/>
    <w:rsid w:val="00501768"/>
    <w:rsid w:val="00502C59"/>
    <w:rsid w:val="005037BB"/>
    <w:rsid w:val="00506F18"/>
    <w:rsid w:val="005072C0"/>
    <w:rsid w:val="00507C2D"/>
    <w:rsid w:val="005117EE"/>
    <w:rsid w:val="005119C9"/>
    <w:rsid w:val="005131AF"/>
    <w:rsid w:val="0051330B"/>
    <w:rsid w:val="00513A1F"/>
    <w:rsid w:val="00514941"/>
    <w:rsid w:val="005150C6"/>
    <w:rsid w:val="005156DA"/>
    <w:rsid w:val="00516C13"/>
    <w:rsid w:val="00517D38"/>
    <w:rsid w:val="00521062"/>
    <w:rsid w:val="00525303"/>
    <w:rsid w:val="00526C07"/>
    <w:rsid w:val="00526C6F"/>
    <w:rsid w:val="00527DAB"/>
    <w:rsid w:val="00530071"/>
    <w:rsid w:val="00530CA0"/>
    <w:rsid w:val="00535C00"/>
    <w:rsid w:val="0054087D"/>
    <w:rsid w:val="00542BC6"/>
    <w:rsid w:val="005650E6"/>
    <w:rsid w:val="005669AB"/>
    <w:rsid w:val="00572EDB"/>
    <w:rsid w:val="0057375A"/>
    <w:rsid w:val="005751D8"/>
    <w:rsid w:val="00576081"/>
    <w:rsid w:val="0057789D"/>
    <w:rsid w:val="00582379"/>
    <w:rsid w:val="005850EE"/>
    <w:rsid w:val="00585CE8"/>
    <w:rsid w:val="005928F2"/>
    <w:rsid w:val="00592F47"/>
    <w:rsid w:val="00593A88"/>
    <w:rsid w:val="005960E2"/>
    <w:rsid w:val="0059792D"/>
    <w:rsid w:val="00597AAB"/>
    <w:rsid w:val="00597FF7"/>
    <w:rsid w:val="005A5C8F"/>
    <w:rsid w:val="005B16D4"/>
    <w:rsid w:val="005B2848"/>
    <w:rsid w:val="005B54DD"/>
    <w:rsid w:val="005B69EE"/>
    <w:rsid w:val="005D0157"/>
    <w:rsid w:val="005D2507"/>
    <w:rsid w:val="005D2919"/>
    <w:rsid w:val="005D4F3E"/>
    <w:rsid w:val="005E6B45"/>
    <w:rsid w:val="005F020F"/>
    <w:rsid w:val="005F3E7E"/>
    <w:rsid w:val="00601D75"/>
    <w:rsid w:val="0060350E"/>
    <w:rsid w:val="0060466F"/>
    <w:rsid w:val="00606C82"/>
    <w:rsid w:val="006109D1"/>
    <w:rsid w:val="00612088"/>
    <w:rsid w:val="00612D68"/>
    <w:rsid w:val="006207CF"/>
    <w:rsid w:val="00622359"/>
    <w:rsid w:val="00624550"/>
    <w:rsid w:val="0063546B"/>
    <w:rsid w:val="00636C44"/>
    <w:rsid w:val="00636C79"/>
    <w:rsid w:val="0064010E"/>
    <w:rsid w:val="00641D31"/>
    <w:rsid w:val="0064344D"/>
    <w:rsid w:val="00655552"/>
    <w:rsid w:val="00660B3C"/>
    <w:rsid w:val="00665670"/>
    <w:rsid w:val="00667676"/>
    <w:rsid w:val="00671D23"/>
    <w:rsid w:val="006773B9"/>
    <w:rsid w:val="00677B02"/>
    <w:rsid w:val="00693A1C"/>
    <w:rsid w:val="0069719C"/>
    <w:rsid w:val="006B3F24"/>
    <w:rsid w:val="006B4B7D"/>
    <w:rsid w:val="006B6EAB"/>
    <w:rsid w:val="006B7134"/>
    <w:rsid w:val="006C0D66"/>
    <w:rsid w:val="006D05CB"/>
    <w:rsid w:val="006D12CD"/>
    <w:rsid w:val="006D29AF"/>
    <w:rsid w:val="006D4029"/>
    <w:rsid w:val="006D6027"/>
    <w:rsid w:val="006E778C"/>
    <w:rsid w:val="006F3410"/>
    <w:rsid w:val="006F3DF3"/>
    <w:rsid w:val="006F6648"/>
    <w:rsid w:val="006F6CBC"/>
    <w:rsid w:val="007030B0"/>
    <w:rsid w:val="00714C8E"/>
    <w:rsid w:val="00716677"/>
    <w:rsid w:val="00721C98"/>
    <w:rsid w:val="007237EA"/>
    <w:rsid w:val="00724AB8"/>
    <w:rsid w:val="00725010"/>
    <w:rsid w:val="00726936"/>
    <w:rsid w:val="007312E7"/>
    <w:rsid w:val="00731C86"/>
    <w:rsid w:val="0073227E"/>
    <w:rsid w:val="00733792"/>
    <w:rsid w:val="0073461D"/>
    <w:rsid w:val="00736999"/>
    <w:rsid w:val="007437FD"/>
    <w:rsid w:val="00743ACF"/>
    <w:rsid w:val="00744585"/>
    <w:rsid w:val="007506E0"/>
    <w:rsid w:val="00756C50"/>
    <w:rsid w:val="007617A4"/>
    <w:rsid w:val="00762A1B"/>
    <w:rsid w:val="007633DB"/>
    <w:rsid w:val="007673BB"/>
    <w:rsid w:val="007708D8"/>
    <w:rsid w:val="00776604"/>
    <w:rsid w:val="007804D3"/>
    <w:rsid w:val="007807E6"/>
    <w:rsid w:val="0078532A"/>
    <w:rsid w:val="0079203A"/>
    <w:rsid w:val="00793C6A"/>
    <w:rsid w:val="0079481B"/>
    <w:rsid w:val="00795AAC"/>
    <w:rsid w:val="007A10D5"/>
    <w:rsid w:val="007A1C98"/>
    <w:rsid w:val="007A3681"/>
    <w:rsid w:val="007A6437"/>
    <w:rsid w:val="007A79A6"/>
    <w:rsid w:val="007B0C35"/>
    <w:rsid w:val="007B7807"/>
    <w:rsid w:val="007C480B"/>
    <w:rsid w:val="007D123A"/>
    <w:rsid w:val="007D2B37"/>
    <w:rsid w:val="007D2F79"/>
    <w:rsid w:val="007D7692"/>
    <w:rsid w:val="007E3901"/>
    <w:rsid w:val="007E39B6"/>
    <w:rsid w:val="007E3B3D"/>
    <w:rsid w:val="007E5BAB"/>
    <w:rsid w:val="007E700F"/>
    <w:rsid w:val="007F5E79"/>
    <w:rsid w:val="00804E99"/>
    <w:rsid w:val="00805281"/>
    <w:rsid w:val="0080557F"/>
    <w:rsid w:val="0080601F"/>
    <w:rsid w:val="008067A1"/>
    <w:rsid w:val="00806FDE"/>
    <w:rsid w:val="008103E8"/>
    <w:rsid w:val="00812B7E"/>
    <w:rsid w:val="0081782B"/>
    <w:rsid w:val="00830052"/>
    <w:rsid w:val="00833B47"/>
    <w:rsid w:val="00833D9D"/>
    <w:rsid w:val="00836861"/>
    <w:rsid w:val="00837C3B"/>
    <w:rsid w:val="008426F2"/>
    <w:rsid w:val="00845538"/>
    <w:rsid w:val="00852CB5"/>
    <w:rsid w:val="00861554"/>
    <w:rsid w:val="00867D63"/>
    <w:rsid w:val="00871686"/>
    <w:rsid w:val="00873244"/>
    <w:rsid w:val="008764F7"/>
    <w:rsid w:val="008778FF"/>
    <w:rsid w:val="00883E26"/>
    <w:rsid w:val="00883FDF"/>
    <w:rsid w:val="00885915"/>
    <w:rsid w:val="00892680"/>
    <w:rsid w:val="00892A01"/>
    <w:rsid w:val="008950DC"/>
    <w:rsid w:val="00897AA4"/>
    <w:rsid w:val="008A324C"/>
    <w:rsid w:val="008B243C"/>
    <w:rsid w:val="008B7F99"/>
    <w:rsid w:val="008C01EF"/>
    <w:rsid w:val="008C0A3E"/>
    <w:rsid w:val="008D457F"/>
    <w:rsid w:val="008D4BBF"/>
    <w:rsid w:val="008D6D75"/>
    <w:rsid w:val="008D7EDB"/>
    <w:rsid w:val="008E0608"/>
    <w:rsid w:val="008E0D12"/>
    <w:rsid w:val="008E2BE8"/>
    <w:rsid w:val="008E59B7"/>
    <w:rsid w:val="008E6ECA"/>
    <w:rsid w:val="008E7735"/>
    <w:rsid w:val="008F1F91"/>
    <w:rsid w:val="008F6918"/>
    <w:rsid w:val="008F74FD"/>
    <w:rsid w:val="00902237"/>
    <w:rsid w:val="0091267E"/>
    <w:rsid w:val="009147D5"/>
    <w:rsid w:val="0091521D"/>
    <w:rsid w:val="00917097"/>
    <w:rsid w:val="00917126"/>
    <w:rsid w:val="00917FC7"/>
    <w:rsid w:val="0092064F"/>
    <w:rsid w:val="00920838"/>
    <w:rsid w:val="00921661"/>
    <w:rsid w:val="009219D5"/>
    <w:rsid w:val="009229BF"/>
    <w:rsid w:val="00927E2A"/>
    <w:rsid w:val="009325EC"/>
    <w:rsid w:val="009346D2"/>
    <w:rsid w:val="00936C23"/>
    <w:rsid w:val="00940FB1"/>
    <w:rsid w:val="0094280D"/>
    <w:rsid w:val="009448D3"/>
    <w:rsid w:val="0095087A"/>
    <w:rsid w:val="00951237"/>
    <w:rsid w:val="00953CA6"/>
    <w:rsid w:val="009558D3"/>
    <w:rsid w:val="00957704"/>
    <w:rsid w:val="0096319B"/>
    <w:rsid w:val="0097119A"/>
    <w:rsid w:val="00971B6F"/>
    <w:rsid w:val="00976263"/>
    <w:rsid w:val="009812C9"/>
    <w:rsid w:val="00984935"/>
    <w:rsid w:val="00984D2D"/>
    <w:rsid w:val="00986A00"/>
    <w:rsid w:val="00986DBF"/>
    <w:rsid w:val="009929B8"/>
    <w:rsid w:val="0099388F"/>
    <w:rsid w:val="00993EA8"/>
    <w:rsid w:val="009950C8"/>
    <w:rsid w:val="00995C10"/>
    <w:rsid w:val="00995DE0"/>
    <w:rsid w:val="00996167"/>
    <w:rsid w:val="009A11C5"/>
    <w:rsid w:val="009A2F2B"/>
    <w:rsid w:val="009A3110"/>
    <w:rsid w:val="009A3440"/>
    <w:rsid w:val="009B62E4"/>
    <w:rsid w:val="009D69B6"/>
    <w:rsid w:val="009E6C20"/>
    <w:rsid w:val="009E6FA2"/>
    <w:rsid w:val="009E767D"/>
    <w:rsid w:val="009F1354"/>
    <w:rsid w:val="009F20BA"/>
    <w:rsid w:val="009F653E"/>
    <w:rsid w:val="00A00297"/>
    <w:rsid w:val="00A0030A"/>
    <w:rsid w:val="00A07488"/>
    <w:rsid w:val="00A1287B"/>
    <w:rsid w:val="00A23E8E"/>
    <w:rsid w:val="00A24C4A"/>
    <w:rsid w:val="00A26D49"/>
    <w:rsid w:val="00A27B9D"/>
    <w:rsid w:val="00A40A17"/>
    <w:rsid w:val="00A41138"/>
    <w:rsid w:val="00A445B1"/>
    <w:rsid w:val="00A4718A"/>
    <w:rsid w:val="00A514B9"/>
    <w:rsid w:val="00A552BA"/>
    <w:rsid w:val="00A62775"/>
    <w:rsid w:val="00A63271"/>
    <w:rsid w:val="00A63882"/>
    <w:rsid w:val="00A647F2"/>
    <w:rsid w:val="00A765E0"/>
    <w:rsid w:val="00A84286"/>
    <w:rsid w:val="00A86F44"/>
    <w:rsid w:val="00A905B4"/>
    <w:rsid w:val="00A91381"/>
    <w:rsid w:val="00A91673"/>
    <w:rsid w:val="00A91CA2"/>
    <w:rsid w:val="00AA0CB9"/>
    <w:rsid w:val="00AA1671"/>
    <w:rsid w:val="00AA2F74"/>
    <w:rsid w:val="00AA5A36"/>
    <w:rsid w:val="00AA6E83"/>
    <w:rsid w:val="00AA71AA"/>
    <w:rsid w:val="00AB2B60"/>
    <w:rsid w:val="00AB6193"/>
    <w:rsid w:val="00AB700F"/>
    <w:rsid w:val="00AC2F21"/>
    <w:rsid w:val="00AC5BC7"/>
    <w:rsid w:val="00AC692C"/>
    <w:rsid w:val="00AD48BA"/>
    <w:rsid w:val="00AE1798"/>
    <w:rsid w:val="00AE32CD"/>
    <w:rsid w:val="00AF56C1"/>
    <w:rsid w:val="00AF5CC6"/>
    <w:rsid w:val="00B04D12"/>
    <w:rsid w:val="00B05013"/>
    <w:rsid w:val="00B075FE"/>
    <w:rsid w:val="00B11BBC"/>
    <w:rsid w:val="00B123E7"/>
    <w:rsid w:val="00B1484A"/>
    <w:rsid w:val="00B259AB"/>
    <w:rsid w:val="00B279A8"/>
    <w:rsid w:val="00B30007"/>
    <w:rsid w:val="00B33545"/>
    <w:rsid w:val="00B34D61"/>
    <w:rsid w:val="00B34EDA"/>
    <w:rsid w:val="00B4201E"/>
    <w:rsid w:val="00B42274"/>
    <w:rsid w:val="00B42745"/>
    <w:rsid w:val="00B46EC6"/>
    <w:rsid w:val="00B509E7"/>
    <w:rsid w:val="00B64249"/>
    <w:rsid w:val="00B67094"/>
    <w:rsid w:val="00B6709A"/>
    <w:rsid w:val="00B71488"/>
    <w:rsid w:val="00B77365"/>
    <w:rsid w:val="00B82E5F"/>
    <w:rsid w:val="00B831F9"/>
    <w:rsid w:val="00B83837"/>
    <w:rsid w:val="00B83E8F"/>
    <w:rsid w:val="00B85DE0"/>
    <w:rsid w:val="00B90171"/>
    <w:rsid w:val="00B90BD9"/>
    <w:rsid w:val="00B954FB"/>
    <w:rsid w:val="00B95DB7"/>
    <w:rsid w:val="00B96B05"/>
    <w:rsid w:val="00BA1DC4"/>
    <w:rsid w:val="00BA21AD"/>
    <w:rsid w:val="00BA25FF"/>
    <w:rsid w:val="00BA771B"/>
    <w:rsid w:val="00BB1908"/>
    <w:rsid w:val="00BB503D"/>
    <w:rsid w:val="00BC23F7"/>
    <w:rsid w:val="00BC25A8"/>
    <w:rsid w:val="00BC46AA"/>
    <w:rsid w:val="00BC5D8F"/>
    <w:rsid w:val="00BD1454"/>
    <w:rsid w:val="00BD24D2"/>
    <w:rsid w:val="00BD5E9D"/>
    <w:rsid w:val="00BD769B"/>
    <w:rsid w:val="00BE1669"/>
    <w:rsid w:val="00BE1811"/>
    <w:rsid w:val="00BE2BD9"/>
    <w:rsid w:val="00BE5473"/>
    <w:rsid w:val="00BE68BC"/>
    <w:rsid w:val="00BE788D"/>
    <w:rsid w:val="00BF1297"/>
    <w:rsid w:val="00BF1900"/>
    <w:rsid w:val="00BF3FC6"/>
    <w:rsid w:val="00BF6606"/>
    <w:rsid w:val="00BF6748"/>
    <w:rsid w:val="00C01E07"/>
    <w:rsid w:val="00C03E47"/>
    <w:rsid w:val="00C065CC"/>
    <w:rsid w:val="00C06E50"/>
    <w:rsid w:val="00C07444"/>
    <w:rsid w:val="00C10221"/>
    <w:rsid w:val="00C102AD"/>
    <w:rsid w:val="00C112D1"/>
    <w:rsid w:val="00C17653"/>
    <w:rsid w:val="00C20340"/>
    <w:rsid w:val="00C20C90"/>
    <w:rsid w:val="00C23A4A"/>
    <w:rsid w:val="00C23D4D"/>
    <w:rsid w:val="00C242B7"/>
    <w:rsid w:val="00C32308"/>
    <w:rsid w:val="00C366E0"/>
    <w:rsid w:val="00C41419"/>
    <w:rsid w:val="00C43525"/>
    <w:rsid w:val="00C4431B"/>
    <w:rsid w:val="00C44781"/>
    <w:rsid w:val="00C450C6"/>
    <w:rsid w:val="00C45B0E"/>
    <w:rsid w:val="00C460A2"/>
    <w:rsid w:val="00C46D5B"/>
    <w:rsid w:val="00C5054F"/>
    <w:rsid w:val="00C51943"/>
    <w:rsid w:val="00C53688"/>
    <w:rsid w:val="00C539AF"/>
    <w:rsid w:val="00C553AB"/>
    <w:rsid w:val="00C61A58"/>
    <w:rsid w:val="00C63313"/>
    <w:rsid w:val="00C660FE"/>
    <w:rsid w:val="00C71279"/>
    <w:rsid w:val="00C71428"/>
    <w:rsid w:val="00C81EF7"/>
    <w:rsid w:val="00C8509F"/>
    <w:rsid w:val="00C92B92"/>
    <w:rsid w:val="00C92CFA"/>
    <w:rsid w:val="00C932C2"/>
    <w:rsid w:val="00C95B70"/>
    <w:rsid w:val="00C95E8C"/>
    <w:rsid w:val="00CA13ED"/>
    <w:rsid w:val="00CA373A"/>
    <w:rsid w:val="00CA3EE7"/>
    <w:rsid w:val="00CA6B35"/>
    <w:rsid w:val="00CA7D0F"/>
    <w:rsid w:val="00CB3667"/>
    <w:rsid w:val="00CB650C"/>
    <w:rsid w:val="00CC18EA"/>
    <w:rsid w:val="00CC1E32"/>
    <w:rsid w:val="00CC5F0D"/>
    <w:rsid w:val="00CD2537"/>
    <w:rsid w:val="00CD49E1"/>
    <w:rsid w:val="00CD51C6"/>
    <w:rsid w:val="00CE0560"/>
    <w:rsid w:val="00CE77F4"/>
    <w:rsid w:val="00CF16E2"/>
    <w:rsid w:val="00CF625C"/>
    <w:rsid w:val="00D00450"/>
    <w:rsid w:val="00D04187"/>
    <w:rsid w:val="00D05797"/>
    <w:rsid w:val="00D077B5"/>
    <w:rsid w:val="00D10761"/>
    <w:rsid w:val="00D10FAF"/>
    <w:rsid w:val="00D111CB"/>
    <w:rsid w:val="00D168BC"/>
    <w:rsid w:val="00D171CD"/>
    <w:rsid w:val="00D22047"/>
    <w:rsid w:val="00D252AB"/>
    <w:rsid w:val="00D27A37"/>
    <w:rsid w:val="00D3142B"/>
    <w:rsid w:val="00D36D8C"/>
    <w:rsid w:val="00D36DAD"/>
    <w:rsid w:val="00D371AD"/>
    <w:rsid w:val="00D3774A"/>
    <w:rsid w:val="00D5790F"/>
    <w:rsid w:val="00D61271"/>
    <w:rsid w:val="00D615C3"/>
    <w:rsid w:val="00D62368"/>
    <w:rsid w:val="00D63752"/>
    <w:rsid w:val="00D709DD"/>
    <w:rsid w:val="00D7587B"/>
    <w:rsid w:val="00D775E7"/>
    <w:rsid w:val="00D82C58"/>
    <w:rsid w:val="00D86E3B"/>
    <w:rsid w:val="00D90A56"/>
    <w:rsid w:val="00D91BAC"/>
    <w:rsid w:val="00D921C5"/>
    <w:rsid w:val="00D92C77"/>
    <w:rsid w:val="00D93937"/>
    <w:rsid w:val="00D94775"/>
    <w:rsid w:val="00D97F93"/>
    <w:rsid w:val="00DA0175"/>
    <w:rsid w:val="00DA099A"/>
    <w:rsid w:val="00DB222B"/>
    <w:rsid w:val="00DB2CF5"/>
    <w:rsid w:val="00DB59FB"/>
    <w:rsid w:val="00DC0B4A"/>
    <w:rsid w:val="00DC3D5A"/>
    <w:rsid w:val="00DC5730"/>
    <w:rsid w:val="00DD10A2"/>
    <w:rsid w:val="00DD3DA7"/>
    <w:rsid w:val="00DD43DF"/>
    <w:rsid w:val="00DD5AC0"/>
    <w:rsid w:val="00DE0B5A"/>
    <w:rsid w:val="00DE0EE6"/>
    <w:rsid w:val="00DE3426"/>
    <w:rsid w:val="00DE44E5"/>
    <w:rsid w:val="00DF142D"/>
    <w:rsid w:val="00DF1F3E"/>
    <w:rsid w:val="00DF2A9E"/>
    <w:rsid w:val="00DF61FD"/>
    <w:rsid w:val="00E027C8"/>
    <w:rsid w:val="00E073C1"/>
    <w:rsid w:val="00E11D63"/>
    <w:rsid w:val="00E12360"/>
    <w:rsid w:val="00E13309"/>
    <w:rsid w:val="00E14383"/>
    <w:rsid w:val="00E203ED"/>
    <w:rsid w:val="00E20700"/>
    <w:rsid w:val="00E20810"/>
    <w:rsid w:val="00E22BF7"/>
    <w:rsid w:val="00E248E9"/>
    <w:rsid w:val="00E26EE5"/>
    <w:rsid w:val="00E367FE"/>
    <w:rsid w:val="00E41490"/>
    <w:rsid w:val="00E43F74"/>
    <w:rsid w:val="00E45098"/>
    <w:rsid w:val="00E46BDC"/>
    <w:rsid w:val="00E52C73"/>
    <w:rsid w:val="00E537FF"/>
    <w:rsid w:val="00E55711"/>
    <w:rsid w:val="00E5666E"/>
    <w:rsid w:val="00E61583"/>
    <w:rsid w:val="00E70346"/>
    <w:rsid w:val="00E748E8"/>
    <w:rsid w:val="00E74D37"/>
    <w:rsid w:val="00E75477"/>
    <w:rsid w:val="00E7704D"/>
    <w:rsid w:val="00E839EA"/>
    <w:rsid w:val="00E84AB7"/>
    <w:rsid w:val="00E8731D"/>
    <w:rsid w:val="00E92BB3"/>
    <w:rsid w:val="00E93E09"/>
    <w:rsid w:val="00E96386"/>
    <w:rsid w:val="00EA050C"/>
    <w:rsid w:val="00EA0BE5"/>
    <w:rsid w:val="00EA27E0"/>
    <w:rsid w:val="00EA37F4"/>
    <w:rsid w:val="00EA5EFB"/>
    <w:rsid w:val="00EB0F11"/>
    <w:rsid w:val="00EB1310"/>
    <w:rsid w:val="00EB415F"/>
    <w:rsid w:val="00EB51C0"/>
    <w:rsid w:val="00EB572E"/>
    <w:rsid w:val="00EB583A"/>
    <w:rsid w:val="00EC02A0"/>
    <w:rsid w:val="00EC4681"/>
    <w:rsid w:val="00EC512F"/>
    <w:rsid w:val="00ED6318"/>
    <w:rsid w:val="00ED7021"/>
    <w:rsid w:val="00ED797B"/>
    <w:rsid w:val="00EE4045"/>
    <w:rsid w:val="00EE6638"/>
    <w:rsid w:val="00EE66F1"/>
    <w:rsid w:val="00EF2117"/>
    <w:rsid w:val="00EF3FA1"/>
    <w:rsid w:val="00EF628F"/>
    <w:rsid w:val="00EF6EA5"/>
    <w:rsid w:val="00F006B6"/>
    <w:rsid w:val="00F01E76"/>
    <w:rsid w:val="00F12A53"/>
    <w:rsid w:val="00F135D8"/>
    <w:rsid w:val="00F16EF3"/>
    <w:rsid w:val="00F22470"/>
    <w:rsid w:val="00F22F49"/>
    <w:rsid w:val="00F23330"/>
    <w:rsid w:val="00F23AF8"/>
    <w:rsid w:val="00F255B3"/>
    <w:rsid w:val="00F30B87"/>
    <w:rsid w:val="00F33C66"/>
    <w:rsid w:val="00F34754"/>
    <w:rsid w:val="00F35D3B"/>
    <w:rsid w:val="00F410D5"/>
    <w:rsid w:val="00F421BF"/>
    <w:rsid w:val="00F45046"/>
    <w:rsid w:val="00F472DA"/>
    <w:rsid w:val="00F5510D"/>
    <w:rsid w:val="00F55C25"/>
    <w:rsid w:val="00F56BD8"/>
    <w:rsid w:val="00F6113E"/>
    <w:rsid w:val="00F61312"/>
    <w:rsid w:val="00F61B1B"/>
    <w:rsid w:val="00F61F04"/>
    <w:rsid w:val="00F63F37"/>
    <w:rsid w:val="00F642E1"/>
    <w:rsid w:val="00F7069C"/>
    <w:rsid w:val="00F71D98"/>
    <w:rsid w:val="00F73A4A"/>
    <w:rsid w:val="00F7519D"/>
    <w:rsid w:val="00F777BC"/>
    <w:rsid w:val="00F831AC"/>
    <w:rsid w:val="00F91642"/>
    <w:rsid w:val="00FB2E95"/>
    <w:rsid w:val="00FC3D95"/>
    <w:rsid w:val="00FC7CA1"/>
    <w:rsid w:val="00FD153B"/>
    <w:rsid w:val="00FD1636"/>
    <w:rsid w:val="00FD1EFD"/>
    <w:rsid w:val="00FD4157"/>
    <w:rsid w:val="00FE1EF0"/>
    <w:rsid w:val="00FE3504"/>
    <w:rsid w:val="00FE54DC"/>
    <w:rsid w:val="00FE59AA"/>
    <w:rsid w:val="00FE76A6"/>
    <w:rsid w:val="00FF265B"/>
    <w:rsid w:val="00FF56B3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2745"/>
    <w:pPr>
      <w:spacing w:after="120"/>
    </w:pPr>
  </w:style>
  <w:style w:type="character" w:customStyle="1" w:styleId="a5">
    <w:name w:val="Основной текст Знак"/>
    <w:basedOn w:val="a0"/>
    <w:link w:val="a4"/>
    <w:rsid w:val="00B4274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B2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39B"/>
  </w:style>
  <w:style w:type="paragraph" w:styleId="a8">
    <w:name w:val="Title"/>
    <w:basedOn w:val="a"/>
    <w:qFormat/>
    <w:rsid w:val="00F34754"/>
    <w:pPr>
      <w:jc w:val="center"/>
    </w:pPr>
    <w:rPr>
      <w:b/>
      <w:sz w:val="36"/>
      <w:szCs w:val="20"/>
    </w:rPr>
  </w:style>
  <w:style w:type="paragraph" w:styleId="a9">
    <w:name w:val="Body Text Indent"/>
    <w:basedOn w:val="a"/>
    <w:rsid w:val="00F34754"/>
    <w:pPr>
      <w:ind w:firstLine="567"/>
    </w:pPr>
    <w:rPr>
      <w:sz w:val="28"/>
      <w:szCs w:val="20"/>
    </w:rPr>
  </w:style>
  <w:style w:type="paragraph" w:styleId="2">
    <w:name w:val="Body Text 2"/>
    <w:basedOn w:val="a"/>
    <w:rsid w:val="00D86E3B"/>
    <w:pPr>
      <w:spacing w:after="120" w:line="480" w:lineRule="auto"/>
    </w:pPr>
  </w:style>
  <w:style w:type="paragraph" w:customStyle="1" w:styleId="BodyText2">
    <w:name w:val="Body Text 2"/>
    <w:basedOn w:val="a"/>
    <w:rsid w:val="00D86E3B"/>
    <w:pPr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2745"/>
    <w:pPr>
      <w:spacing w:after="120"/>
    </w:pPr>
  </w:style>
  <w:style w:type="character" w:customStyle="1" w:styleId="a5">
    <w:name w:val="Основной текст Знак"/>
    <w:basedOn w:val="a0"/>
    <w:link w:val="a4"/>
    <w:rsid w:val="00B4274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B2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39B"/>
  </w:style>
  <w:style w:type="paragraph" w:styleId="a8">
    <w:name w:val="Title"/>
    <w:basedOn w:val="a"/>
    <w:qFormat/>
    <w:rsid w:val="00F34754"/>
    <w:pPr>
      <w:jc w:val="center"/>
    </w:pPr>
    <w:rPr>
      <w:b/>
      <w:sz w:val="36"/>
      <w:szCs w:val="20"/>
    </w:rPr>
  </w:style>
  <w:style w:type="paragraph" w:styleId="a9">
    <w:name w:val="Body Text Indent"/>
    <w:basedOn w:val="a"/>
    <w:rsid w:val="00F34754"/>
    <w:pPr>
      <w:ind w:firstLine="567"/>
    </w:pPr>
    <w:rPr>
      <w:sz w:val="28"/>
      <w:szCs w:val="20"/>
    </w:rPr>
  </w:style>
  <w:style w:type="paragraph" w:styleId="2">
    <w:name w:val="Body Text 2"/>
    <w:basedOn w:val="a"/>
    <w:rsid w:val="00D86E3B"/>
    <w:pPr>
      <w:spacing w:after="120" w:line="480" w:lineRule="auto"/>
    </w:pPr>
  </w:style>
  <w:style w:type="paragraph" w:customStyle="1" w:styleId="BodyText2">
    <w:name w:val="Body Text 2"/>
    <w:basedOn w:val="a"/>
    <w:rsid w:val="00D86E3B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17923362175526E-2"/>
          <c:y val="5.9936908517350153E-2"/>
          <c:w val="0.66131025957972811"/>
          <c:h val="0.7917981072555206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1267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Mode val="edge"/>
                  <c:yMode val="edge"/>
                  <c:x val="0.24845488257107542"/>
                  <c:y val="0.1261829652996845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5105067985166877"/>
                  <c:y val="0.195583596214511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446229913473424"/>
                  <c:y val="0.283911671924290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5253399258343634"/>
                  <c:y val="0.1955835962145110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2006 г</c:v>
                </c:pt>
                <c:pt idx="1">
                  <c:v>2007 г</c:v>
                </c:pt>
                <c:pt idx="2">
                  <c:v>2008 г</c:v>
                </c:pt>
                <c:pt idx="3">
                  <c:v>2009 г</c:v>
                </c:pt>
                <c:pt idx="4">
                  <c:v>2010 г</c:v>
                </c:pt>
                <c:pt idx="5">
                  <c:v>2011</c:v>
                </c:pt>
                <c:pt idx="6">
                  <c:v>2012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27919</c:v>
                </c:pt>
                <c:pt idx="1">
                  <c:v>27355</c:v>
                </c:pt>
                <c:pt idx="2">
                  <c:v>26886</c:v>
                </c:pt>
                <c:pt idx="3">
                  <c:v>26406</c:v>
                </c:pt>
                <c:pt idx="4">
                  <c:v>26910</c:v>
                </c:pt>
                <c:pt idx="5">
                  <c:v>26316</c:v>
                </c:pt>
                <c:pt idx="6">
                  <c:v>25564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0958720"/>
        <c:axId val="177105728"/>
      </c:lineChart>
      <c:catAx>
        <c:axId val="14095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105728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77105728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0958720"/>
        <c:crosses val="autoZero"/>
        <c:crossBetween val="between"/>
      </c:valAx>
      <c:spPr>
        <a:solidFill>
          <a:srgbClr val="FFFFFF"/>
        </a:solidFill>
        <a:ln w="12674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086526576019781"/>
          <c:y val="0.62460567823343849"/>
          <c:w val="0.29913473423980219"/>
          <c:h val="0.28075709779179814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435374149659865E-2"/>
          <c:y val="3.2786885245901641E-2"/>
          <c:w val="0.8"/>
          <c:h val="0.80655737704918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00FF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3537414965986395"/>
                  <c:y val="7.2131147540983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8503401360544216"/>
                  <c:y val="0.19999999999999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19216.3</c:v>
                </c:pt>
                <c:pt idx="1">
                  <c:v>15515.9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455782312925170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71836734693877558"/>
                  <c:y val="0.118032786885245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22419.200000000001</c:v>
                </c:pt>
                <c:pt idx="1">
                  <c:v>17740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481344"/>
        <c:axId val="177107456"/>
        <c:axId val="0"/>
      </c:bar3DChart>
      <c:catAx>
        <c:axId val="18348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107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107456"/>
        <c:scaling>
          <c:orientation val="minMax"/>
          <c:max val="25000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481344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90612244897959171"/>
          <c:y val="0.4098360655737705"/>
          <c:w val="8.8435374149659865E-2"/>
          <c:h val="0.1803278688524590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Уровень зарегистрированной безработицы</a:t>
            </a:r>
          </a:p>
        </c:rich>
      </c:tx>
      <c:layout>
        <c:manualLayout>
          <c:xMode val="edge"/>
          <c:yMode val="edge"/>
          <c:x val="0.16590563165905634"/>
          <c:y val="1.993355481727575E-2"/>
        </c:manualLayout>
      </c:layout>
      <c:overlay val="0"/>
      <c:spPr>
        <a:noFill/>
        <a:ln w="25322">
          <a:noFill/>
        </a:ln>
      </c:spPr>
    </c:title>
    <c:autoTitleDeleted val="0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26940639269403E-2"/>
          <c:y val="0.2292358803986711"/>
          <c:w val="0.81126331811263308"/>
          <c:h val="0.611295681063122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1613394216133944"/>
                  <c:y val="0.12624584717607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216133942161339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0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00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9680365296803651"/>
                  <c:y val="0.355481727574750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9908675799086756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0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FFCC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6225266362252667"/>
                  <c:y val="0.382059800664451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9908675799086756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22">
                <a:noFill/>
              </a:ln>
            </c:spPr>
            <c:txPr>
              <a:bodyPr/>
              <a:lstStyle/>
              <a:p>
                <a:pPr>
                  <a:defRPr sz="10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482368"/>
        <c:axId val="177109184"/>
        <c:axId val="0"/>
      </c:bar3DChart>
      <c:catAx>
        <c:axId val="18348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109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77109184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3482368"/>
        <c:crosses val="autoZero"/>
        <c:crossBetween val="between"/>
      </c:valAx>
      <c:spPr>
        <a:noFill/>
        <a:ln w="316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497716894977175"/>
          <c:y val="0.4551495016611295"/>
          <c:w val="9.8934550989345518E-2"/>
          <c:h val="0.2724252491694352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62893081761007"/>
          <c:y val="3.7671232876712327E-2"/>
          <c:w val="0.67452830188679258"/>
          <c:h val="0.811643835616438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9182389937106917"/>
                  <c:y val="0.212328767123287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962264150943397"/>
                  <c:y val="0.34246575342465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990566037735849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7">
                <a:noFill/>
              </a:ln>
            </c:spPr>
            <c:txPr>
              <a:bodyPr/>
              <a:lstStyle/>
              <a:p>
                <a:pPr>
                  <a:defRPr sz="110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2012</c:v>
                </c:pt>
                <c:pt idx="1">
                  <c:v>2011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18947</c:v>
                </c:pt>
                <c:pt idx="1">
                  <c:v>17985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0959232"/>
        <c:axId val="184778752"/>
        <c:axId val="0"/>
      </c:bar3DChart>
      <c:catAx>
        <c:axId val="140959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4778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778752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0959232"/>
        <c:crosses val="autoZero"/>
        <c:crossBetween val="between"/>
        <c:majorUnit val="3000"/>
      </c:valAx>
      <c:spPr>
        <a:noFill/>
        <a:ln w="25437">
          <a:noFill/>
        </a:ln>
      </c:spPr>
    </c:plotArea>
    <c:legend>
      <c:legendPos val="r"/>
      <c:layout>
        <c:manualLayout>
          <c:xMode val="edge"/>
          <c:yMode val="edge"/>
          <c:x val="0.79559748427672972"/>
          <c:y val="0.45547945205479462"/>
          <c:w val="0.19811320754716985"/>
          <c:h val="8.9041095890410968E-2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94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l</Company>
  <LinksUpToDate>false</LinksUpToDate>
  <CharactersWithSpaces>26982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mna</dc:creator>
  <cp:lastModifiedBy>User</cp:lastModifiedBy>
  <cp:revision>2</cp:revision>
  <cp:lastPrinted>2012-10-25T11:34:00Z</cp:lastPrinted>
  <dcterms:created xsi:type="dcterms:W3CDTF">2017-03-31T05:03:00Z</dcterms:created>
  <dcterms:modified xsi:type="dcterms:W3CDTF">2017-03-31T05:03:00Z</dcterms:modified>
</cp:coreProperties>
</file>