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F56" w:rsidRDefault="00EB415F" w:rsidP="00A62854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092577">
        <w:rPr>
          <w:b/>
          <w:sz w:val="28"/>
          <w:szCs w:val="28"/>
        </w:rPr>
        <w:t>ИТОГИ</w:t>
      </w:r>
    </w:p>
    <w:p w:rsidR="00883FDF" w:rsidRDefault="00EB415F" w:rsidP="00285F57">
      <w:pPr>
        <w:jc w:val="both"/>
        <w:rPr>
          <w:b/>
          <w:sz w:val="28"/>
          <w:szCs w:val="28"/>
        </w:rPr>
      </w:pPr>
      <w:r w:rsidRPr="00092577">
        <w:rPr>
          <w:b/>
          <w:sz w:val="28"/>
          <w:szCs w:val="28"/>
        </w:rPr>
        <w:t xml:space="preserve">СОЦИАЛЬНО-ЭКОНОМИЧЕСКОГО РАЗВИТИЯ ВАЛДАЙСКОГО </w:t>
      </w:r>
      <w:r w:rsidR="00017532">
        <w:rPr>
          <w:b/>
          <w:sz w:val="28"/>
          <w:szCs w:val="28"/>
        </w:rPr>
        <w:tab/>
        <w:t xml:space="preserve">МУНИЦИПАЛЬНОГО </w:t>
      </w:r>
      <w:r w:rsidRPr="00092577">
        <w:rPr>
          <w:b/>
          <w:sz w:val="28"/>
          <w:szCs w:val="28"/>
        </w:rPr>
        <w:t xml:space="preserve">РАЙОНА ЗА </w:t>
      </w:r>
      <w:r w:rsidR="002F5EC1">
        <w:rPr>
          <w:b/>
          <w:sz w:val="28"/>
          <w:szCs w:val="28"/>
        </w:rPr>
        <w:t xml:space="preserve"> </w:t>
      </w:r>
      <w:r w:rsidR="00762A1B">
        <w:rPr>
          <w:b/>
          <w:sz w:val="28"/>
          <w:szCs w:val="28"/>
        </w:rPr>
        <w:t xml:space="preserve"> 2011</w:t>
      </w:r>
      <w:r w:rsidRPr="00092577">
        <w:rPr>
          <w:b/>
          <w:sz w:val="28"/>
          <w:szCs w:val="28"/>
        </w:rPr>
        <w:t xml:space="preserve"> </w:t>
      </w:r>
      <w:r w:rsidR="00762A1B">
        <w:rPr>
          <w:b/>
          <w:sz w:val="28"/>
          <w:szCs w:val="28"/>
        </w:rPr>
        <w:t>г</w:t>
      </w:r>
      <w:r w:rsidR="00762A1B">
        <w:rPr>
          <w:b/>
          <w:sz w:val="28"/>
          <w:szCs w:val="28"/>
        </w:rPr>
        <w:t>о</w:t>
      </w:r>
      <w:r w:rsidR="00762A1B">
        <w:rPr>
          <w:b/>
          <w:sz w:val="28"/>
          <w:szCs w:val="28"/>
        </w:rPr>
        <w:t>д.</w:t>
      </w:r>
    </w:p>
    <w:p w:rsidR="00762A1B" w:rsidRDefault="00762A1B" w:rsidP="00285F57">
      <w:pPr>
        <w:jc w:val="both"/>
      </w:pPr>
    </w:p>
    <w:p w:rsidR="00883FDF" w:rsidRDefault="00883FDF" w:rsidP="00285F57">
      <w:pPr>
        <w:jc w:val="both"/>
      </w:pPr>
      <w:r>
        <w:tab/>
        <w:t xml:space="preserve">Валдайский район площадью </w:t>
      </w:r>
      <w:smartTag w:uri="urn:schemas-microsoft-com:office:smarttags" w:element="metricconverter">
        <w:smartTagPr>
          <w:attr w:name="ProductID" w:val="270163 га"/>
        </w:smartTagPr>
        <w:r>
          <w:t>270163 га</w:t>
        </w:r>
      </w:smartTag>
      <w:r>
        <w:t xml:space="preserve"> входит в состав Новгородской области,  и образован из </w:t>
      </w:r>
      <w:r w:rsidR="002A7711">
        <w:t>8</w:t>
      </w:r>
      <w:r>
        <w:t xml:space="preserve"> сельских и 1 городского поселений.</w:t>
      </w:r>
      <w:r w:rsidR="00092577">
        <w:t xml:space="preserve"> </w:t>
      </w:r>
      <w:r>
        <w:t>65% территории района занимают л</w:t>
      </w:r>
      <w:r>
        <w:t>е</w:t>
      </w:r>
      <w:r>
        <w:t>са, 24%</w:t>
      </w:r>
      <w:r w:rsidR="00451786">
        <w:t xml:space="preserve"> </w:t>
      </w:r>
      <w:r>
        <w:t xml:space="preserve">- </w:t>
      </w:r>
      <w:r w:rsidR="005C6D62">
        <w:t>земли сельхозназначения</w:t>
      </w:r>
      <w:r>
        <w:t>, 8% -</w:t>
      </w:r>
      <w:r w:rsidR="00451786">
        <w:t xml:space="preserve"> </w:t>
      </w:r>
      <w:r>
        <w:t>земли населённых пунктов, промышленности, связи, энергетики, дороги, 3% -</w:t>
      </w:r>
      <w:r w:rsidR="00C63313">
        <w:t xml:space="preserve"> </w:t>
      </w:r>
      <w:r>
        <w:t>земли водного фонда.</w:t>
      </w:r>
    </w:p>
    <w:p w:rsidR="00883FDF" w:rsidRDefault="00883FDF" w:rsidP="00285F57">
      <w:pPr>
        <w:jc w:val="both"/>
      </w:pPr>
      <w:r>
        <w:tab/>
      </w:r>
      <w:r w:rsidR="00D032E4">
        <w:t>В</w:t>
      </w:r>
      <w:r>
        <w:t xml:space="preserve"> целом  ситуация в Валдайском муниципальном районе оставал</w:t>
      </w:r>
      <w:r w:rsidR="008E0D12">
        <w:t>ась стабильной. Функци</w:t>
      </w:r>
      <w:r w:rsidR="008E0D12">
        <w:t>о</w:t>
      </w:r>
      <w:r w:rsidR="008E0D12">
        <w:t>нировала вся жизнеобеспечивающая сфера района – энергетика, жилищно-коммунальное хозяйство, транспорт и учреждения социального блока. В районе удалось сохранить налогооблагаемую базу и выполнить социальные обязательства перед насел</w:t>
      </w:r>
      <w:r w:rsidR="008E0D12">
        <w:t>е</w:t>
      </w:r>
      <w:r w:rsidR="008E0D12">
        <w:t>нием. Выплата заработной платы работникам бюджетных организаций, назначение пе</w:t>
      </w:r>
      <w:r w:rsidR="008E0D12">
        <w:t>н</w:t>
      </w:r>
      <w:r w:rsidR="008E0D12">
        <w:t xml:space="preserve">сий и пособий </w:t>
      </w:r>
      <w:r w:rsidR="00AB2B60">
        <w:t xml:space="preserve"> осуществлялась в соответствии с действующим законодательством, без задержек.</w:t>
      </w:r>
    </w:p>
    <w:p w:rsidR="00AB2B60" w:rsidRPr="003B6E48" w:rsidRDefault="00AB2B60" w:rsidP="00A62854">
      <w:pPr>
        <w:jc w:val="center"/>
        <w:rPr>
          <w:b/>
          <w:sz w:val="28"/>
          <w:szCs w:val="28"/>
        </w:rPr>
      </w:pPr>
      <w:r w:rsidRPr="003B6E48">
        <w:rPr>
          <w:b/>
          <w:sz w:val="28"/>
          <w:szCs w:val="28"/>
        </w:rPr>
        <w:t>С</w:t>
      </w:r>
      <w:r w:rsidR="00D93937">
        <w:rPr>
          <w:b/>
          <w:sz w:val="28"/>
          <w:szCs w:val="28"/>
        </w:rPr>
        <w:t>ОЦИАЛЬНАЯ СФЕРА</w:t>
      </w:r>
      <w:r w:rsidRPr="003B6E48">
        <w:rPr>
          <w:b/>
          <w:sz w:val="28"/>
          <w:szCs w:val="28"/>
        </w:rPr>
        <w:t>.</w:t>
      </w:r>
    </w:p>
    <w:p w:rsidR="00AB2B60" w:rsidRDefault="00AB2B60" w:rsidP="00285F57">
      <w:pPr>
        <w:jc w:val="both"/>
        <w:rPr>
          <w:b/>
        </w:rPr>
      </w:pPr>
    </w:p>
    <w:p w:rsidR="00AB2B60" w:rsidRDefault="00AB2B60" w:rsidP="00285F57">
      <w:pPr>
        <w:jc w:val="both"/>
      </w:pPr>
      <w:r>
        <w:rPr>
          <w:b/>
        </w:rPr>
        <w:tab/>
      </w:r>
      <w:r w:rsidRPr="00AB2B60">
        <w:t xml:space="preserve">Население </w:t>
      </w:r>
      <w:r>
        <w:t>Валдайского муниципального района</w:t>
      </w:r>
      <w:r w:rsidR="00DB222B">
        <w:t xml:space="preserve"> на начало 2011 года </w:t>
      </w:r>
      <w:r>
        <w:t>составляет 2</w:t>
      </w:r>
      <w:r w:rsidR="00DB222B">
        <w:t>6319</w:t>
      </w:r>
      <w:r>
        <w:t xml:space="preserve"> человек</w:t>
      </w:r>
      <w:r w:rsidR="00DB222B">
        <w:t xml:space="preserve"> (с учетом переписи населения, проведенной в 2010 году)</w:t>
      </w:r>
      <w:r>
        <w:t xml:space="preserve">, из них граждан трудоспособного возраста </w:t>
      </w:r>
      <w:r w:rsidR="00336EFE">
        <w:t>59,5</w:t>
      </w:r>
      <w:r>
        <w:t xml:space="preserve"> %, пенсионеров</w:t>
      </w:r>
      <w:r w:rsidR="00336EFE">
        <w:t xml:space="preserve"> 25,6 </w:t>
      </w:r>
      <w:r>
        <w:t>%</w:t>
      </w:r>
      <w:r w:rsidR="00336EFE">
        <w:t>, детей до 15 лет 14,9 %</w:t>
      </w:r>
      <w:r w:rsidR="00090AE2">
        <w:t>.</w:t>
      </w:r>
      <w:r w:rsidR="00BD1454">
        <w:t xml:space="preserve"> Занято в различных о</w:t>
      </w:r>
      <w:r w:rsidR="00BD1454">
        <w:t>т</w:t>
      </w:r>
      <w:r w:rsidR="00BD1454">
        <w:t>раслях экономики 10,3 тыс.чел.</w:t>
      </w:r>
    </w:p>
    <w:p w:rsidR="003B6E48" w:rsidRDefault="003B6E48" w:rsidP="00285F57">
      <w:pPr>
        <w:jc w:val="both"/>
      </w:pPr>
    </w:p>
    <w:p w:rsidR="00EC02A0" w:rsidRPr="003B6E48" w:rsidRDefault="00EC02A0" w:rsidP="00285F57">
      <w:pPr>
        <w:spacing w:line="360" w:lineRule="auto"/>
        <w:ind w:firstLine="708"/>
        <w:jc w:val="both"/>
        <w:rPr>
          <w:b/>
          <w:sz w:val="28"/>
          <w:szCs w:val="28"/>
        </w:rPr>
      </w:pPr>
      <w:r w:rsidRPr="003B6E48">
        <w:rPr>
          <w:sz w:val="28"/>
          <w:szCs w:val="28"/>
        </w:rPr>
        <w:t xml:space="preserve"> </w:t>
      </w:r>
      <w:r w:rsidRPr="003B6E48">
        <w:rPr>
          <w:b/>
          <w:sz w:val="28"/>
          <w:szCs w:val="28"/>
        </w:rPr>
        <w:t>Динамика численности населения района</w:t>
      </w:r>
    </w:p>
    <w:p w:rsidR="00EC02A0" w:rsidRPr="00AB2B60" w:rsidRDefault="00F24626" w:rsidP="00285F57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6256655" cy="2531745"/>
            <wp:effectExtent l="0" t="0" r="0" b="0"/>
            <wp:docPr id="1" name="Объект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3B6E48" w:rsidRPr="00EC688A" w:rsidRDefault="003B6E48" w:rsidP="00285F57">
      <w:pPr>
        <w:jc w:val="both"/>
      </w:pPr>
      <w:r>
        <w:tab/>
      </w:r>
      <w:r w:rsidRPr="00EC688A">
        <w:t>Демографическая ситуация</w:t>
      </w:r>
      <w:r w:rsidR="00746B2A">
        <w:t xml:space="preserve"> за </w:t>
      </w:r>
      <w:r w:rsidRPr="00EC688A">
        <w:t>201</w:t>
      </w:r>
      <w:r w:rsidR="00DB222B" w:rsidRPr="00EC688A">
        <w:t>1</w:t>
      </w:r>
      <w:r w:rsidRPr="00EC688A">
        <w:t xml:space="preserve"> год характеризовалась </w:t>
      </w:r>
      <w:r w:rsidR="00746B2A">
        <w:t xml:space="preserve"> </w:t>
      </w:r>
      <w:r w:rsidR="00AC168B">
        <w:t>снижением естестве</w:t>
      </w:r>
      <w:r w:rsidR="00AC168B">
        <w:t>н</w:t>
      </w:r>
      <w:r w:rsidR="00AC168B">
        <w:t>ной убыли населения</w:t>
      </w:r>
      <w:r w:rsidRPr="00EC688A">
        <w:t xml:space="preserve">. </w:t>
      </w:r>
      <w:r w:rsidR="004F5AF9">
        <w:t>С</w:t>
      </w:r>
      <w:r w:rsidR="00AC168B">
        <w:t xml:space="preserve"> </w:t>
      </w:r>
      <w:r w:rsidR="004F5AF9">
        <w:t>н</w:t>
      </w:r>
      <w:r w:rsidR="00AC168B">
        <w:t>ачала года ч</w:t>
      </w:r>
      <w:r w:rsidRPr="00EC688A">
        <w:t>исло умерших превысило число роди</w:t>
      </w:r>
      <w:r w:rsidRPr="00EC688A">
        <w:t>в</w:t>
      </w:r>
      <w:r w:rsidRPr="00EC688A">
        <w:t>шихся в</w:t>
      </w:r>
      <w:r w:rsidR="00461785">
        <w:t xml:space="preserve"> 2,0</w:t>
      </w:r>
      <w:r w:rsidRPr="00EC688A">
        <w:t xml:space="preserve"> раза (за 20</w:t>
      </w:r>
      <w:r w:rsidR="00096A75" w:rsidRPr="00EC688A">
        <w:t>1</w:t>
      </w:r>
      <w:r w:rsidRPr="00EC688A">
        <w:t xml:space="preserve">0 год </w:t>
      </w:r>
      <w:r w:rsidR="00FD153B" w:rsidRPr="00EC688A">
        <w:t>–</w:t>
      </w:r>
      <w:r w:rsidRPr="00EC688A">
        <w:t xml:space="preserve"> </w:t>
      </w:r>
      <w:r w:rsidR="00FD153B" w:rsidRPr="00EC688A">
        <w:t>2,</w:t>
      </w:r>
      <w:r w:rsidR="007F100F">
        <w:t>4</w:t>
      </w:r>
      <w:r w:rsidR="00FD153B" w:rsidRPr="00EC688A">
        <w:t xml:space="preserve"> </w:t>
      </w:r>
      <w:r w:rsidRPr="00EC688A">
        <w:t>раз</w:t>
      </w:r>
      <w:r w:rsidR="00632925">
        <w:t>а</w:t>
      </w:r>
      <w:r w:rsidRPr="00EC688A">
        <w:t>)</w:t>
      </w:r>
    </w:p>
    <w:p w:rsidR="003B6E48" w:rsidRPr="00EC688A" w:rsidRDefault="003B6E48" w:rsidP="00A62854">
      <w:pPr>
        <w:jc w:val="center"/>
        <w:rPr>
          <w:b/>
        </w:rPr>
      </w:pPr>
      <w:r w:rsidRPr="00EC688A">
        <w:rPr>
          <w:b/>
        </w:rPr>
        <w:t>Демографическая ситуация района.</w:t>
      </w:r>
    </w:p>
    <w:p w:rsidR="00092577" w:rsidRPr="00EC688A" w:rsidRDefault="00092577" w:rsidP="00285F57">
      <w:pPr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2279"/>
        <w:gridCol w:w="696"/>
        <w:gridCol w:w="696"/>
        <w:gridCol w:w="1409"/>
        <w:gridCol w:w="1501"/>
        <w:gridCol w:w="1501"/>
      </w:tblGrid>
      <w:tr w:rsidR="00756C50" w:rsidRPr="00EC688A">
        <w:tc>
          <w:tcPr>
            <w:tcW w:w="0" w:type="auto"/>
          </w:tcPr>
          <w:p w:rsidR="00756C50" w:rsidRPr="00EC688A" w:rsidRDefault="00756C50" w:rsidP="00285F57">
            <w:pPr>
              <w:jc w:val="both"/>
            </w:pPr>
            <w:r w:rsidRPr="00EC688A">
              <w:t>Показатели</w:t>
            </w:r>
          </w:p>
        </w:tc>
        <w:tc>
          <w:tcPr>
            <w:tcW w:w="0" w:type="auto"/>
            <w:gridSpan w:val="3"/>
          </w:tcPr>
          <w:p w:rsidR="00756C50" w:rsidRPr="00EC688A" w:rsidRDefault="00756C50" w:rsidP="00285F57">
            <w:pPr>
              <w:jc w:val="both"/>
            </w:pPr>
            <w:r w:rsidRPr="00EC688A">
              <w:t xml:space="preserve">Человек </w:t>
            </w:r>
          </w:p>
        </w:tc>
        <w:tc>
          <w:tcPr>
            <w:tcW w:w="0" w:type="auto"/>
            <w:gridSpan w:val="2"/>
          </w:tcPr>
          <w:p w:rsidR="00756C50" w:rsidRPr="00EC688A" w:rsidRDefault="00756C50" w:rsidP="00285F57">
            <w:pPr>
              <w:jc w:val="both"/>
            </w:pPr>
            <w:r w:rsidRPr="00EC688A">
              <w:t>На 1000 человек населения</w:t>
            </w:r>
          </w:p>
        </w:tc>
      </w:tr>
      <w:tr w:rsidR="00756C50" w:rsidRPr="00EC688A">
        <w:tc>
          <w:tcPr>
            <w:tcW w:w="0" w:type="auto"/>
          </w:tcPr>
          <w:p w:rsidR="00756C50" w:rsidRPr="00EC688A" w:rsidRDefault="00756C50" w:rsidP="007F100F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756C50" w:rsidRPr="00EC688A" w:rsidRDefault="00756C50" w:rsidP="007F100F">
            <w:pPr>
              <w:jc w:val="center"/>
            </w:pPr>
            <w:r w:rsidRPr="00EC688A">
              <w:t>201</w:t>
            </w:r>
            <w:r w:rsidR="00867D63" w:rsidRPr="00EC688A">
              <w:t>1</w:t>
            </w:r>
          </w:p>
        </w:tc>
        <w:tc>
          <w:tcPr>
            <w:tcW w:w="0" w:type="auto"/>
          </w:tcPr>
          <w:p w:rsidR="00756C50" w:rsidRPr="00EC688A" w:rsidRDefault="00756C50" w:rsidP="007F100F">
            <w:pPr>
              <w:jc w:val="center"/>
            </w:pPr>
            <w:r w:rsidRPr="00EC688A">
              <w:t>20</w:t>
            </w:r>
            <w:r w:rsidR="00867D63" w:rsidRPr="00EC688A">
              <w:t>1</w:t>
            </w:r>
            <w:r w:rsidRPr="00EC688A">
              <w:t>0</w:t>
            </w:r>
          </w:p>
        </w:tc>
        <w:tc>
          <w:tcPr>
            <w:tcW w:w="0" w:type="auto"/>
          </w:tcPr>
          <w:p w:rsidR="00756C50" w:rsidRPr="00EC688A" w:rsidRDefault="00756C50" w:rsidP="007F100F">
            <w:pPr>
              <w:jc w:val="center"/>
            </w:pPr>
            <w:r w:rsidRPr="00EC688A">
              <w:t>Прирост +</w:t>
            </w:r>
          </w:p>
          <w:p w:rsidR="00756C50" w:rsidRPr="00EC688A" w:rsidRDefault="00756C50" w:rsidP="007F100F">
            <w:pPr>
              <w:jc w:val="center"/>
            </w:pPr>
            <w:r w:rsidRPr="00EC688A">
              <w:t>Снижение -</w:t>
            </w:r>
          </w:p>
        </w:tc>
        <w:tc>
          <w:tcPr>
            <w:tcW w:w="0" w:type="auto"/>
          </w:tcPr>
          <w:p w:rsidR="00756C50" w:rsidRPr="00EC688A" w:rsidRDefault="00756C50" w:rsidP="007F100F">
            <w:pPr>
              <w:jc w:val="center"/>
            </w:pPr>
            <w:r w:rsidRPr="00EC688A">
              <w:t>201</w:t>
            </w:r>
            <w:r w:rsidR="00867D63" w:rsidRPr="00EC688A">
              <w:t>1</w:t>
            </w:r>
          </w:p>
        </w:tc>
        <w:tc>
          <w:tcPr>
            <w:tcW w:w="0" w:type="auto"/>
          </w:tcPr>
          <w:p w:rsidR="00756C50" w:rsidRPr="00EC688A" w:rsidRDefault="00756C50" w:rsidP="007F100F">
            <w:pPr>
              <w:jc w:val="center"/>
            </w:pPr>
            <w:r w:rsidRPr="00EC688A">
              <w:t>20</w:t>
            </w:r>
            <w:r w:rsidR="00867D63" w:rsidRPr="00EC688A">
              <w:t>1</w:t>
            </w:r>
            <w:r w:rsidRPr="00EC688A">
              <w:t>0</w:t>
            </w:r>
          </w:p>
        </w:tc>
      </w:tr>
      <w:tr w:rsidR="00756C50" w:rsidRPr="00EC688A">
        <w:tc>
          <w:tcPr>
            <w:tcW w:w="0" w:type="auto"/>
          </w:tcPr>
          <w:p w:rsidR="00756C50" w:rsidRPr="00EC688A" w:rsidRDefault="00756C50" w:rsidP="007F100F">
            <w:pPr>
              <w:jc w:val="center"/>
            </w:pPr>
            <w:r w:rsidRPr="00EC688A">
              <w:t>Родившихся</w:t>
            </w:r>
          </w:p>
        </w:tc>
        <w:tc>
          <w:tcPr>
            <w:tcW w:w="0" w:type="auto"/>
          </w:tcPr>
          <w:p w:rsidR="00756C50" w:rsidRPr="00EC688A" w:rsidRDefault="00587B55" w:rsidP="007F100F">
            <w:pPr>
              <w:jc w:val="center"/>
            </w:pPr>
            <w:r>
              <w:t>2</w:t>
            </w:r>
            <w:r w:rsidR="006C2EED">
              <w:t>85</w:t>
            </w:r>
          </w:p>
        </w:tc>
        <w:tc>
          <w:tcPr>
            <w:tcW w:w="0" w:type="auto"/>
          </w:tcPr>
          <w:p w:rsidR="00756C50" w:rsidRPr="00EC688A" w:rsidRDefault="007F100F" w:rsidP="007F100F">
            <w:pPr>
              <w:jc w:val="center"/>
            </w:pPr>
            <w:r>
              <w:t>26</w:t>
            </w:r>
            <w:r w:rsidR="006C2EED">
              <w:t>0</w:t>
            </w:r>
          </w:p>
        </w:tc>
        <w:tc>
          <w:tcPr>
            <w:tcW w:w="0" w:type="auto"/>
          </w:tcPr>
          <w:p w:rsidR="00756C50" w:rsidRPr="00EC688A" w:rsidRDefault="008310D7" w:rsidP="007F100F">
            <w:pPr>
              <w:jc w:val="center"/>
            </w:pPr>
            <w:r>
              <w:t>+</w:t>
            </w:r>
            <w:r w:rsidR="00FC0282">
              <w:t>31</w:t>
            </w:r>
          </w:p>
        </w:tc>
        <w:tc>
          <w:tcPr>
            <w:tcW w:w="0" w:type="auto"/>
          </w:tcPr>
          <w:p w:rsidR="00756C50" w:rsidRPr="00EC688A" w:rsidRDefault="00FC0282" w:rsidP="007F100F">
            <w:pPr>
              <w:jc w:val="center"/>
            </w:pPr>
            <w:r>
              <w:t>1</w:t>
            </w:r>
            <w:r w:rsidR="006C2EED">
              <w:t>0,9</w:t>
            </w:r>
          </w:p>
        </w:tc>
        <w:tc>
          <w:tcPr>
            <w:tcW w:w="0" w:type="auto"/>
          </w:tcPr>
          <w:p w:rsidR="00756C50" w:rsidRPr="00EC688A" w:rsidRDefault="006C2EED" w:rsidP="007F100F">
            <w:pPr>
              <w:jc w:val="center"/>
            </w:pPr>
            <w:r>
              <w:t>9,8</w:t>
            </w:r>
          </w:p>
        </w:tc>
      </w:tr>
      <w:tr w:rsidR="00756C50" w:rsidRPr="00EC688A">
        <w:tc>
          <w:tcPr>
            <w:tcW w:w="0" w:type="auto"/>
          </w:tcPr>
          <w:p w:rsidR="00756C50" w:rsidRPr="00EC688A" w:rsidRDefault="00756C50" w:rsidP="007F100F">
            <w:pPr>
              <w:jc w:val="center"/>
            </w:pPr>
            <w:r w:rsidRPr="00EC688A">
              <w:t>Умерших</w:t>
            </w:r>
          </w:p>
        </w:tc>
        <w:tc>
          <w:tcPr>
            <w:tcW w:w="0" w:type="auto"/>
          </w:tcPr>
          <w:p w:rsidR="00756C50" w:rsidRPr="00EC688A" w:rsidRDefault="00587B55" w:rsidP="007F100F">
            <w:pPr>
              <w:jc w:val="center"/>
            </w:pPr>
            <w:r>
              <w:t>57</w:t>
            </w:r>
            <w:r w:rsidR="006C2EED">
              <w:t>0</w:t>
            </w:r>
          </w:p>
        </w:tc>
        <w:tc>
          <w:tcPr>
            <w:tcW w:w="0" w:type="auto"/>
          </w:tcPr>
          <w:p w:rsidR="00756C50" w:rsidRPr="00EC688A" w:rsidRDefault="007F100F" w:rsidP="007F100F">
            <w:pPr>
              <w:jc w:val="center"/>
            </w:pPr>
            <w:r>
              <w:t>63</w:t>
            </w:r>
            <w:r w:rsidR="006C2EED">
              <w:t>3</w:t>
            </w:r>
          </w:p>
        </w:tc>
        <w:tc>
          <w:tcPr>
            <w:tcW w:w="0" w:type="auto"/>
          </w:tcPr>
          <w:p w:rsidR="00756C50" w:rsidRPr="00EC688A" w:rsidRDefault="00FC0282" w:rsidP="007F100F">
            <w:pPr>
              <w:jc w:val="center"/>
            </w:pPr>
            <w:r>
              <w:t>-58</w:t>
            </w:r>
          </w:p>
        </w:tc>
        <w:tc>
          <w:tcPr>
            <w:tcW w:w="0" w:type="auto"/>
          </w:tcPr>
          <w:p w:rsidR="00756C50" w:rsidRPr="00EC688A" w:rsidRDefault="00FC0282" w:rsidP="007F100F">
            <w:pPr>
              <w:jc w:val="center"/>
            </w:pPr>
            <w:r>
              <w:t>21,</w:t>
            </w:r>
            <w:r w:rsidR="006C2EED">
              <w:t>8</w:t>
            </w:r>
          </w:p>
        </w:tc>
        <w:tc>
          <w:tcPr>
            <w:tcW w:w="0" w:type="auto"/>
          </w:tcPr>
          <w:p w:rsidR="00756C50" w:rsidRPr="00EC688A" w:rsidRDefault="007F100F" w:rsidP="007F100F">
            <w:pPr>
              <w:jc w:val="center"/>
            </w:pPr>
            <w:r>
              <w:t>2</w:t>
            </w:r>
            <w:r w:rsidR="006C2EED">
              <w:t>3,8</w:t>
            </w:r>
          </w:p>
        </w:tc>
      </w:tr>
      <w:tr w:rsidR="00756C50" w:rsidRPr="00EC688A">
        <w:tc>
          <w:tcPr>
            <w:tcW w:w="0" w:type="auto"/>
          </w:tcPr>
          <w:p w:rsidR="00756C50" w:rsidRPr="00EC688A" w:rsidRDefault="00756C50" w:rsidP="007F100F">
            <w:pPr>
              <w:jc w:val="center"/>
            </w:pPr>
            <w:r w:rsidRPr="00EC688A">
              <w:t>Естественная убыль</w:t>
            </w:r>
          </w:p>
        </w:tc>
        <w:tc>
          <w:tcPr>
            <w:tcW w:w="0" w:type="auto"/>
          </w:tcPr>
          <w:p w:rsidR="00756C50" w:rsidRPr="00EC688A" w:rsidRDefault="00587B55" w:rsidP="007F100F">
            <w:pPr>
              <w:jc w:val="center"/>
            </w:pPr>
            <w:r>
              <w:t>-28</w:t>
            </w:r>
            <w:r w:rsidR="006C2EED">
              <w:t>5</w:t>
            </w:r>
          </w:p>
        </w:tc>
        <w:tc>
          <w:tcPr>
            <w:tcW w:w="0" w:type="auto"/>
          </w:tcPr>
          <w:p w:rsidR="00756C50" w:rsidRPr="00EC688A" w:rsidRDefault="007F100F" w:rsidP="007F100F">
            <w:pPr>
              <w:jc w:val="center"/>
            </w:pPr>
            <w:r>
              <w:t>-373</w:t>
            </w:r>
          </w:p>
        </w:tc>
        <w:tc>
          <w:tcPr>
            <w:tcW w:w="0" w:type="auto"/>
          </w:tcPr>
          <w:p w:rsidR="00756C50" w:rsidRPr="00EC688A" w:rsidRDefault="00A46BFF" w:rsidP="007F100F">
            <w:pPr>
              <w:jc w:val="center"/>
            </w:pPr>
            <w:r>
              <w:t>89</w:t>
            </w:r>
          </w:p>
        </w:tc>
        <w:tc>
          <w:tcPr>
            <w:tcW w:w="0" w:type="auto"/>
          </w:tcPr>
          <w:p w:rsidR="00756C50" w:rsidRPr="00EC688A" w:rsidRDefault="00FC0282" w:rsidP="007F100F">
            <w:pPr>
              <w:jc w:val="center"/>
            </w:pPr>
            <w:r>
              <w:t>-10,</w:t>
            </w:r>
            <w:r w:rsidR="006C2EED">
              <w:t>9</w:t>
            </w:r>
          </w:p>
        </w:tc>
        <w:tc>
          <w:tcPr>
            <w:tcW w:w="0" w:type="auto"/>
          </w:tcPr>
          <w:p w:rsidR="00756C50" w:rsidRPr="00EC688A" w:rsidRDefault="007F100F" w:rsidP="007F100F">
            <w:pPr>
              <w:jc w:val="center"/>
            </w:pPr>
            <w:r>
              <w:t>-14,</w:t>
            </w:r>
            <w:r w:rsidR="006C2EED">
              <w:t>0</w:t>
            </w:r>
          </w:p>
        </w:tc>
      </w:tr>
    </w:tbl>
    <w:p w:rsidR="003B6E48" w:rsidRPr="00D67D1C" w:rsidRDefault="003B6E48" w:rsidP="007F100F">
      <w:pPr>
        <w:jc w:val="center"/>
        <w:rPr>
          <w:b/>
          <w:highlight w:val="yellow"/>
        </w:rPr>
      </w:pPr>
    </w:p>
    <w:p w:rsidR="00756C50" w:rsidRPr="00EC688A" w:rsidRDefault="00F12A53" w:rsidP="00285F57">
      <w:pPr>
        <w:jc w:val="both"/>
      </w:pPr>
      <w:r w:rsidRPr="00EC688A">
        <w:tab/>
      </w:r>
      <w:r w:rsidR="008157E3">
        <w:t xml:space="preserve">За </w:t>
      </w:r>
      <w:r w:rsidR="00E23E7D" w:rsidRPr="00EC688A">
        <w:t xml:space="preserve"> </w:t>
      </w:r>
      <w:r w:rsidR="0064010E" w:rsidRPr="00EC688A">
        <w:t>201</w:t>
      </w:r>
      <w:r w:rsidR="009B62E4" w:rsidRPr="00EC688A">
        <w:t>1</w:t>
      </w:r>
      <w:r w:rsidR="0064010E" w:rsidRPr="00EC688A">
        <w:t xml:space="preserve"> год коэффициент рождаемости ( в расчете на 1000 человек населения) по сра</w:t>
      </w:r>
      <w:r w:rsidR="0064010E" w:rsidRPr="00EC688A">
        <w:t>в</w:t>
      </w:r>
      <w:r w:rsidR="0064010E" w:rsidRPr="00EC688A">
        <w:t>нению с 20</w:t>
      </w:r>
      <w:r w:rsidR="009B62E4" w:rsidRPr="00EC688A">
        <w:t>1</w:t>
      </w:r>
      <w:r w:rsidR="0064010E" w:rsidRPr="00EC688A">
        <w:t>0 годом у</w:t>
      </w:r>
      <w:r w:rsidR="00AC168B">
        <w:t>величился</w:t>
      </w:r>
      <w:r w:rsidR="00756C50" w:rsidRPr="00EC688A">
        <w:t xml:space="preserve"> с</w:t>
      </w:r>
      <w:r w:rsidR="008B42BA">
        <w:t xml:space="preserve"> </w:t>
      </w:r>
      <w:r w:rsidR="006C2EED">
        <w:t>9,8</w:t>
      </w:r>
      <w:r w:rsidR="00756C50" w:rsidRPr="00EC688A">
        <w:t xml:space="preserve"> до </w:t>
      </w:r>
      <w:r w:rsidR="00ED552C">
        <w:t>1</w:t>
      </w:r>
      <w:r w:rsidR="006C2EED">
        <w:t>0,9</w:t>
      </w:r>
      <w:r w:rsidR="00E23E7D" w:rsidRPr="00EC688A">
        <w:t>.</w:t>
      </w:r>
    </w:p>
    <w:p w:rsidR="005F3E7E" w:rsidRDefault="001A5D64" w:rsidP="00285F57">
      <w:pPr>
        <w:jc w:val="both"/>
      </w:pPr>
      <w:r w:rsidRPr="00EC688A">
        <w:lastRenderedPageBreak/>
        <w:tab/>
        <w:t xml:space="preserve">В структуре причин смерти </w:t>
      </w:r>
      <w:r w:rsidR="00E23E7D" w:rsidRPr="00EC688A">
        <w:t xml:space="preserve"> </w:t>
      </w:r>
      <w:r w:rsidR="00D26A60">
        <w:t>6</w:t>
      </w:r>
      <w:r w:rsidR="00230C4A">
        <w:t xml:space="preserve">3,2 </w:t>
      </w:r>
      <w:r w:rsidR="00D26A60">
        <w:t xml:space="preserve"> </w:t>
      </w:r>
      <w:r w:rsidRPr="00EC688A">
        <w:t>% приходилось на болезни органов системы кр</w:t>
      </w:r>
      <w:r w:rsidRPr="00EC688A">
        <w:t>о</w:t>
      </w:r>
      <w:r w:rsidRPr="00EC688A">
        <w:t>вообращения,</w:t>
      </w:r>
      <w:r w:rsidR="00220DD2">
        <w:t xml:space="preserve"> </w:t>
      </w:r>
      <w:r w:rsidR="00D26A60">
        <w:t>1</w:t>
      </w:r>
      <w:r w:rsidR="00230C4A">
        <w:t>4,9</w:t>
      </w:r>
      <w:r w:rsidR="00375812" w:rsidRPr="00EC688A">
        <w:t xml:space="preserve"> %</w:t>
      </w:r>
      <w:r w:rsidRPr="00EC688A">
        <w:t xml:space="preserve"> травмы и несчастные случаи, </w:t>
      </w:r>
      <w:r w:rsidR="00230C4A">
        <w:t>10,2</w:t>
      </w:r>
      <w:r w:rsidR="00D26A60">
        <w:t xml:space="preserve"> </w:t>
      </w:r>
      <w:r w:rsidRPr="00EC688A">
        <w:t xml:space="preserve">% онкологические заболевания, </w:t>
      </w:r>
      <w:r w:rsidR="00B90171" w:rsidRPr="00EC688A">
        <w:t xml:space="preserve"> </w:t>
      </w:r>
      <w:r w:rsidR="00230C4A">
        <w:t>6,1%</w:t>
      </w:r>
      <w:r w:rsidRPr="00EC688A">
        <w:t xml:space="preserve"> болезни органов </w:t>
      </w:r>
      <w:r w:rsidR="00230C4A">
        <w:t>пищеварения</w:t>
      </w:r>
      <w:r w:rsidRPr="00EC688A">
        <w:t>.</w:t>
      </w:r>
      <w:r w:rsidR="005F3E7E" w:rsidRPr="00EC688A">
        <w:rPr>
          <w:sz w:val="28"/>
          <w:szCs w:val="28"/>
        </w:rPr>
        <w:t xml:space="preserve"> </w:t>
      </w:r>
      <w:r w:rsidR="001D60DB" w:rsidRPr="001D60DB">
        <w:t>Для</w:t>
      </w:r>
      <w:r w:rsidR="005F3E7E" w:rsidRPr="00EC688A">
        <w:t xml:space="preserve"> улучшени</w:t>
      </w:r>
      <w:r w:rsidR="001D60DB">
        <w:t>я</w:t>
      </w:r>
      <w:r w:rsidR="005F3E7E" w:rsidRPr="00EC688A">
        <w:t xml:space="preserve"> непростой демографической ситу</w:t>
      </w:r>
      <w:r w:rsidR="005F3E7E" w:rsidRPr="00EC688A">
        <w:t>а</w:t>
      </w:r>
      <w:r w:rsidR="005F3E7E" w:rsidRPr="00EC688A">
        <w:t>ции направлены мероприятия 5 Программ по здравоохранению, в числе которых «Онк</w:t>
      </w:r>
      <w:r w:rsidR="005F3E7E" w:rsidRPr="00EC688A">
        <w:t>о</w:t>
      </w:r>
      <w:r w:rsidR="005F3E7E" w:rsidRPr="00EC688A">
        <w:t>логия», «Сахарный диабет», «Здоровая мать</w:t>
      </w:r>
      <w:r w:rsidR="008157E3">
        <w:t xml:space="preserve"> </w:t>
      </w:r>
      <w:r w:rsidR="005F3E7E" w:rsidRPr="00EC688A">
        <w:t>- здоровый ребенок», « АНТИ- СПИД», «Н</w:t>
      </w:r>
      <w:r w:rsidR="005F3E7E" w:rsidRPr="00EC688A">
        <w:t>е</w:t>
      </w:r>
      <w:r w:rsidR="005F3E7E" w:rsidRPr="00EC688A">
        <w:t>отложные меры по борьбе с туберкулезом»</w:t>
      </w:r>
      <w:r w:rsidR="00B020A2">
        <w:t>и комплексной программы «Развитие здрав</w:t>
      </w:r>
      <w:r w:rsidR="00B020A2">
        <w:t>о</w:t>
      </w:r>
      <w:r w:rsidR="00B020A2">
        <w:t>охранения в Валдайском районе на 2010-2012 годы»</w:t>
      </w:r>
      <w:r w:rsidR="00B3495D">
        <w:t>, финансирование которых состав</w:t>
      </w:r>
      <w:r w:rsidR="00B3495D">
        <w:t>и</w:t>
      </w:r>
      <w:r w:rsidR="00B3495D">
        <w:t>ло 0,4 млн.руб.</w:t>
      </w:r>
    </w:p>
    <w:p w:rsidR="000E34F4" w:rsidRPr="000E34F4" w:rsidRDefault="000E34F4" w:rsidP="000E34F4">
      <w:r>
        <w:t>П</w:t>
      </w:r>
      <w:r w:rsidRPr="000E34F4">
        <w:t>о программе «Модернизация здравоохранения»  приобретено современное медици</w:t>
      </w:r>
      <w:r w:rsidRPr="000E34F4">
        <w:t>н</w:t>
      </w:r>
      <w:r w:rsidRPr="000E34F4">
        <w:t>ское оборудование</w:t>
      </w:r>
      <w:r>
        <w:t xml:space="preserve"> </w:t>
      </w:r>
      <w:r w:rsidRPr="000E34F4">
        <w:t>на сумму 11,2 млн. руб</w:t>
      </w:r>
      <w:r>
        <w:t xml:space="preserve">.   </w:t>
      </w:r>
      <w:r w:rsidR="009E55A7">
        <w:t>В</w:t>
      </w:r>
      <w:r>
        <w:t xml:space="preserve"> </w:t>
      </w:r>
      <w:r w:rsidRPr="000E34F4">
        <w:t xml:space="preserve"> Валдайской ЦРБ выполнен ремонт родильн</w:t>
      </w:r>
      <w:r w:rsidRPr="000E34F4">
        <w:t>о</w:t>
      </w:r>
      <w:r w:rsidRPr="000E34F4">
        <w:t>го отделения, пищеблока, произведена замена полов в поликлинике</w:t>
      </w:r>
      <w:r>
        <w:t>. Для закрепления мол</w:t>
      </w:r>
      <w:r>
        <w:t>о</w:t>
      </w:r>
      <w:r>
        <w:t>дых специалистов</w:t>
      </w:r>
      <w:r w:rsidRPr="000E34F4">
        <w:t xml:space="preserve"> приобретена 2-х комнатная  квартира для врача- анестезиол</w:t>
      </w:r>
      <w:r w:rsidRPr="000E34F4">
        <w:t>о</w:t>
      </w:r>
      <w:r>
        <w:t>га.</w:t>
      </w:r>
    </w:p>
    <w:p w:rsidR="001A5D64" w:rsidRDefault="001A5D64" w:rsidP="00285F57">
      <w:pPr>
        <w:jc w:val="both"/>
      </w:pPr>
    </w:p>
    <w:p w:rsidR="00B42745" w:rsidRDefault="005F3E7E" w:rsidP="00285F57">
      <w:pPr>
        <w:jc w:val="both"/>
      </w:pPr>
      <w:r>
        <w:tab/>
      </w:r>
      <w:r w:rsidR="001A5D64">
        <w:t>Номинальная заработная плата (без субъектов малого предпри</w:t>
      </w:r>
      <w:r w:rsidR="00B42745">
        <w:t>ни</w:t>
      </w:r>
      <w:r w:rsidR="001A5D64">
        <w:t xml:space="preserve">мательства ) </w:t>
      </w:r>
      <w:r w:rsidR="00B42745">
        <w:t>с</w:t>
      </w:r>
      <w:r w:rsidR="00B42745">
        <w:t>о</w:t>
      </w:r>
      <w:r w:rsidR="00B42745">
        <w:t>ставила в</w:t>
      </w:r>
      <w:r w:rsidR="00756C50">
        <w:t xml:space="preserve"> январе-</w:t>
      </w:r>
      <w:r w:rsidR="0018248B">
        <w:t xml:space="preserve"> </w:t>
      </w:r>
      <w:r w:rsidR="00A43B2C">
        <w:t>ноябре</w:t>
      </w:r>
      <w:r w:rsidR="0018248B">
        <w:t xml:space="preserve"> </w:t>
      </w:r>
      <w:r w:rsidR="00720B2C">
        <w:t>2011 год</w:t>
      </w:r>
      <w:r w:rsidR="008B42BA">
        <w:t xml:space="preserve">а </w:t>
      </w:r>
      <w:r w:rsidR="006001AC">
        <w:t xml:space="preserve"> 15</w:t>
      </w:r>
      <w:r w:rsidR="00A43B2C">
        <w:t>515,9</w:t>
      </w:r>
      <w:r w:rsidR="006001AC">
        <w:t xml:space="preserve"> р</w:t>
      </w:r>
      <w:r w:rsidR="00B42745">
        <w:t xml:space="preserve">уб., что на </w:t>
      </w:r>
      <w:r w:rsidR="006001AC">
        <w:t>11</w:t>
      </w:r>
      <w:r w:rsidR="00A43B2C">
        <w:t>,6</w:t>
      </w:r>
      <w:r w:rsidR="0018248B">
        <w:t xml:space="preserve"> </w:t>
      </w:r>
      <w:r w:rsidR="00B42745">
        <w:t>%  выше уровня 20</w:t>
      </w:r>
      <w:r w:rsidR="0018248B">
        <w:t>10</w:t>
      </w:r>
      <w:r w:rsidR="00B42745">
        <w:t xml:space="preserve"> г</w:t>
      </w:r>
      <w:r w:rsidR="00B42745">
        <w:t>о</w:t>
      </w:r>
      <w:r w:rsidR="00B42745">
        <w:t>да</w:t>
      </w:r>
    </w:p>
    <w:p w:rsidR="002B65B1" w:rsidRDefault="002B65B1" w:rsidP="00285F57">
      <w:pPr>
        <w:jc w:val="both"/>
      </w:pPr>
    </w:p>
    <w:p w:rsidR="00B42745" w:rsidRDefault="00B42745" w:rsidP="00010401">
      <w:pPr>
        <w:pStyle w:val="a4"/>
        <w:spacing w:after="0"/>
        <w:ind w:firstLine="851"/>
        <w:jc w:val="center"/>
        <w:rPr>
          <w:sz w:val="32"/>
          <w:szCs w:val="32"/>
        </w:rPr>
      </w:pPr>
      <w:r w:rsidRPr="005F1D36">
        <w:rPr>
          <w:sz w:val="32"/>
          <w:szCs w:val="32"/>
        </w:rPr>
        <w:t>Среднемесячная заработная плата</w:t>
      </w:r>
      <w:r>
        <w:rPr>
          <w:sz w:val="32"/>
          <w:szCs w:val="32"/>
        </w:rPr>
        <w:t>, (руб.)</w:t>
      </w:r>
    </w:p>
    <w:p w:rsidR="00756C50" w:rsidRDefault="00756C50" w:rsidP="00010401">
      <w:pPr>
        <w:pStyle w:val="a4"/>
        <w:spacing w:after="0"/>
        <w:ind w:firstLine="851"/>
        <w:jc w:val="center"/>
        <w:rPr>
          <w:sz w:val="32"/>
          <w:szCs w:val="32"/>
        </w:rPr>
      </w:pPr>
      <w:r>
        <w:rPr>
          <w:sz w:val="32"/>
          <w:szCs w:val="32"/>
        </w:rPr>
        <w:t>январь</w:t>
      </w:r>
      <w:r w:rsidR="00E167B1">
        <w:rPr>
          <w:sz w:val="32"/>
          <w:szCs w:val="32"/>
        </w:rPr>
        <w:t xml:space="preserve"> </w:t>
      </w:r>
      <w:r>
        <w:rPr>
          <w:sz w:val="32"/>
          <w:szCs w:val="32"/>
        </w:rPr>
        <w:t>-</w:t>
      </w:r>
      <w:r w:rsidR="00F31D6D">
        <w:rPr>
          <w:sz w:val="32"/>
          <w:szCs w:val="32"/>
        </w:rPr>
        <w:t xml:space="preserve"> </w:t>
      </w:r>
      <w:r w:rsidR="00A43B2C">
        <w:rPr>
          <w:sz w:val="32"/>
          <w:szCs w:val="32"/>
        </w:rPr>
        <w:t>ноябре</w:t>
      </w:r>
      <w:r w:rsidR="00744FFA">
        <w:rPr>
          <w:sz w:val="32"/>
          <w:szCs w:val="32"/>
        </w:rPr>
        <w:t xml:space="preserve"> </w:t>
      </w:r>
      <w:r>
        <w:rPr>
          <w:sz w:val="32"/>
          <w:szCs w:val="32"/>
        </w:rPr>
        <w:t>201</w:t>
      </w:r>
      <w:r w:rsidR="002B65B1">
        <w:rPr>
          <w:sz w:val="32"/>
          <w:szCs w:val="32"/>
        </w:rPr>
        <w:t>1</w:t>
      </w:r>
      <w:r>
        <w:rPr>
          <w:sz w:val="32"/>
          <w:szCs w:val="32"/>
        </w:rPr>
        <w:t xml:space="preserve"> года</w:t>
      </w:r>
    </w:p>
    <w:p w:rsidR="00B42745" w:rsidRPr="0064010E" w:rsidRDefault="00F24626" w:rsidP="00285F57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689600" cy="2430145"/>
            <wp:effectExtent l="0" t="0" r="0" b="0"/>
            <wp:docPr id="2" name="Объект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42745" w:rsidRDefault="00B42745" w:rsidP="00285F57">
      <w:pPr>
        <w:jc w:val="both"/>
      </w:pPr>
    </w:p>
    <w:p w:rsidR="003336A1" w:rsidRPr="00EC688A" w:rsidRDefault="004B234B" w:rsidP="00285F57">
      <w:pPr>
        <w:jc w:val="both"/>
      </w:pPr>
      <w:r>
        <w:t xml:space="preserve">            </w:t>
      </w:r>
      <w:r w:rsidR="003336A1" w:rsidRPr="00EC688A">
        <w:t>В 201</w:t>
      </w:r>
      <w:r w:rsidR="009E6FA2" w:rsidRPr="00EC688A">
        <w:t>1</w:t>
      </w:r>
      <w:r w:rsidR="003336A1" w:rsidRPr="00EC688A">
        <w:t xml:space="preserve"> году среднесписочная численность </w:t>
      </w:r>
      <w:r w:rsidR="00F16EF3" w:rsidRPr="00EC688A">
        <w:t>работающих в организациях ( без суб</w:t>
      </w:r>
      <w:r w:rsidR="00F16EF3" w:rsidRPr="00EC688A">
        <w:t>ъ</w:t>
      </w:r>
      <w:r w:rsidR="00F16EF3" w:rsidRPr="00EC688A">
        <w:t xml:space="preserve">ектов малого предпринимательства) Валдайского муниципального </w:t>
      </w:r>
      <w:r w:rsidR="000C06ED" w:rsidRPr="00EC688A">
        <w:t xml:space="preserve">района составила </w:t>
      </w:r>
      <w:r w:rsidR="00A552BA" w:rsidRPr="00EC688A">
        <w:t>6</w:t>
      </w:r>
      <w:r w:rsidR="00A43B2C">
        <w:t>687</w:t>
      </w:r>
      <w:r w:rsidR="00A552BA" w:rsidRPr="00EC688A">
        <w:t xml:space="preserve"> </w:t>
      </w:r>
      <w:r w:rsidR="000C06ED" w:rsidRPr="00EC688A">
        <w:t>чел</w:t>
      </w:r>
      <w:r w:rsidR="000C06ED" w:rsidRPr="00EC688A">
        <w:t>о</w:t>
      </w:r>
      <w:r w:rsidR="000C06ED" w:rsidRPr="00EC688A">
        <w:t>век и уменьшилась по сравнению с 20</w:t>
      </w:r>
      <w:r w:rsidR="003E16E7" w:rsidRPr="00EC688A">
        <w:t>1</w:t>
      </w:r>
      <w:r w:rsidR="00A552BA" w:rsidRPr="00EC688A">
        <w:t>0</w:t>
      </w:r>
      <w:r w:rsidR="000C06ED" w:rsidRPr="00EC688A">
        <w:t xml:space="preserve"> годом на </w:t>
      </w:r>
      <w:r w:rsidR="008157E3">
        <w:t>2,</w:t>
      </w:r>
      <w:r w:rsidR="00BE5A13">
        <w:t>2</w:t>
      </w:r>
      <w:r w:rsidR="008157E3">
        <w:t xml:space="preserve"> </w:t>
      </w:r>
      <w:r w:rsidR="000C06ED" w:rsidRPr="00EC688A">
        <w:t>%</w:t>
      </w:r>
      <w:r w:rsidR="00867D63" w:rsidRPr="00EC688A">
        <w:t>.</w:t>
      </w:r>
    </w:p>
    <w:p w:rsidR="002A1348" w:rsidRPr="00F54EC7" w:rsidRDefault="002A1348" w:rsidP="00285F57">
      <w:pPr>
        <w:jc w:val="both"/>
      </w:pPr>
      <w:r w:rsidRPr="00EC688A">
        <w:tab/>
      </w:r>
      <w:r w:rsidRPr="00F54EC7">
        <w:t xml:space="preserve">За счет средств </w:t>
      </w:r>
      <w:r w:rsidR="00A552BA" w:rsidRPr="00F54EC7">
        <w:t xml:space="preserve">областных субвенций и благотворительных пожертвований </w:t>
      </w:r>
      <w:r w:rsidRPr="00F54EC7">
        <w:t xml:space="preserve">была оказана помощь </w:t>
      </w:r>
      <w:r w:rsidR="00F54EC7" w:rsidRPr="00F54EC7">
        <w:t>1</w:t>
      </w:r>
      <w:r w:rsidR="00B072B0">
        <w:t>163</w:t>
      </w:r>
      <w:r w:rsidRPr="00F54EC7">
        <w:t xml:space="preserve"> гражданам на сумму </w:t>
      </w:r>
      <w:r w:rsidR="00B072B0">
        <w:t>2348,5</w:t>
      </w:r>
      <w:r w:rsidR="00A552BA" w:rsidRPr="00F54EC7">
        <w:t xml:space="preserve"> </w:t>
      </w:r>
      <w:r w:rsidRPr="00F54EC7">
        <w:t>тыс.руб. Средний размер материал</w:t>
      </w:r>
      <w:r w:rsidRPr="00F54EC7">
        <w:t>ь</w:t>
      </w:r>
      <w:r w:rsidRPr="00F54EC7">
        <w:t xml:space="preserve">ной помощи составил </w:t>
      </w:r>
      <w:r w:rsidR="00B072B0">
        <w:t>2019</w:t>
      </w:r>
      <w:r w:rsidR="00B13C16">
        <w:t xml:space="preserve"> </w:t>
      </w:r>
      <w:r w:rsidR="00C132DE" w:rsidRPr="00F54EC7">
        <w:t>руб. Помощь получили</w:t>
      </w:r>
      <w:r w:rsidR="00DA4837" w:rsidRPr="00F54EC7">
        <w:t>:</w:t>
      </w:r>
      <w:r w:rsidR="00C132DE" w:rsidRPr="00F54EC7">
        <w:t xml:space="preserve"> пенсионеры -1</w:t>
      </w:r>
      <w:r w:rsidR="00B072B0">
        <w:t>6</w:t>
      </w:r>
      <w:r w:rsidR="00C132DE" w:rsidRPr="00F54EC7">
        <w:t xml:space="preserve"> чел., инвалиды- </w:t>
      </w:r>
      <w:r w:rsidR="00F54EC7" w:rsidRPr="00F54EC7">
        <w:t>9</w:t>
      </w:r>
      <w:r w:rsidR="00B072B0">
        <w:t>8</w:t>
      </w:r>
      <w:r w:rsidR="00C132DE" w:rsidRPr="00F54EC7">
        <w:t xml:space="preserve"> чел., д</w:t>
      </w:r>
      <w:r w:rsidR="00C132DE" w:rsidRPr="00F54EC7">
        <w:t>е</w:t>
      </w:r>
      <w:r w:rsidR="00C132DE" w:rsidRPr="00F54EC7">
        <w:t xml:space="preserve">ти -  </w:t>
      </w:r>
      <w:r w:rsidR="00B072B0">
        <w:t>510</w:t>
      </w:r>
      <w:r w:rsidR="00C132DE" w:rsidRPr="00F54EC7">
        <w:t xml:space="preserve"> чел., 3</w:t>
      </w:r>
      <w:r w:rsidR="00B072B0">
        <w:t>46</w:t>
      </w:r>
      <w:r w:rsidR="00C132DE" w:rsidRPr="00F54EC7">
        <w:t xml:space="preserve"> сем</w:t>
      </w:r>
      <w:r w:rsidR="00B072B0">
        <w:t>ей</w:t>
      </w:r>
      <w:r w:rsidR="00C132DE" w:rsidRPr="00F54EC7">
        <w:t>.</w:t>
      </w:r>
    </w:p>
    <w:p w:rsidR="002A1348" w:rsidRPr="00EC688A" w:rsidRDefault="00660B3C" w:rsidP="00285F57">
      <w:pPr>
        <w:jc w:val="both"/>
      </w:pPr>
      <w:r w:rsidRPr="00F54EC7">
        <w:tab/>
      </w:r>
      <w:r w:rsidR="002A1348" w:rsidRPr="00F54EC7">
        <w:t xml:space="preserve"> На 1 </w:t>
      </w:r>
      <w:r w:rsidR="00552A33">
        <w:t>января 2012</w:t>
      </w:r>
      <w:r w:rsidR="002A1348" w:rsidRPr="00F54EC7">
        <w:t xml:space="preserve"> года численность малообеспеченных граждан соста</w:t>
      </w:r>
      <w:r w:rsidR="002A1348" w:rsidRPr="00F54EC7">
        <w:t>в</w:t>
      </w:r>
      <w:r w:rsidR="002A1348" w:rsidRPr="00F54EC7">
        <w:t xml:space="preserve">ляет </w:t>
      </w:r>
      <w:r w:rsidR="00181231">
        <w:t>2604</w:t>
      </w:r>
      <w:r w:rsidR="00A552BA" w:rsidRPr="00F54EC7">
        <w:t xml:space="preserve"> </w:t>
      </w:r>
      <w:r w:rsidR="002A1348" w:rsidRPr="00F54EC7">
        <w:t xml:space="preserve">человек, что на </w:t>
      </w:r>
      <w:r w:rsidR="00181231">
        <w:t>185</w:t>
      </w:r>
      <w:r w:rsidR="002A1348" w:rsidRPr="00F54EC7">
        <w:t xml:space="preserve"> чел. </w:t>
      </w:r>
      <w:r w:rsidR="00181231">
        <w:t>больше</w:t>
      </w:r>
      <w:r w:rsidR="00CA13ED" w:rsidRPr="00F54EC7">
        <w:t>, чем в 20</w:t>
      </w:r>
      <w:r w:rsidRPr="00F54EC7">
        <w:t>1</w:t>
      </w:r>
      <w:r w:rsidR="00552A33">
        <w:t>1</w:t>
      </w:r>
      <w:r w:rsidR="00CA13ED" w:rsidRPr="00F54EC7">
        <w:t xml:space="preserve"> году. </w:t>
      </w:r>
      <w:r w:rsidR="000B1972" w:rsidRPr="00F54EC7">
        <w:t>2</w:t>
      </w:r>
      <w:r w:rsidR="00181231">
        <w:t>8,9</w:t>
      </w:r>
      <w:r w:rsidRPr="00F54EC7">
        <w:t xml:space="preserve"> </w:t>
      </w:r>
      <w:r w:rsidR="00CA13ED" w:rsidRPr="00F54EC7">
        <w:t>% населения отн</w:t>
      </w:r>
      <w:r w:rsidR="00CA13ED" w:rsidRPr="00F54EC7">
        <w:t>о</w:t>
      </w:r>
      <w:r w:rsidR="00CA13ED" w:rsidRPr="00F54EC7">
        <w:t>сятся к льготной категории граждан (федеральные льготники</w:t>
      </w:r>
      <w:r w:rsidRPr="00F54EC7">
        <w:t xml:space="preserve"> </w:t>
      </w:r>
      <w:r w:rsidR="00552A33">
        <w:t>4210</w:t>
      </w:r>
      <w:r w:rsidR="00CE1128" w:rsidRPr="00F54EC7">
        <w:t xml:space="preserve"> </w:t>
      </w:r>
      <w:r w:rsidR="00CA13ED" w:rsidRPr="00F54EC7">
        <w:t xml:space="preserve">чел, региональные </w:t>
      </w:r>
      <w:r w:rsidR="00A552BA" w:rsidRPr="00F54EC7">
        <w:t>3</w:t>
      </w:r>
      <w:r w:rsidR="00552A33">
        <w:t>392</w:t>
      </w:r>
      <w:r w:rsidR="00CA13ED" w:rsidRPr="00F54EC7">
        <w:t xml:space="preserve"> чел.) Меры с</w:t>
      </w:r>
      <w:r w:rsidR="00CA13ED" w:rsidRPr="00F54EC7">
        <w:t>о</w:t>
      </w:r>
      <w:r w:rsidR="00CA13ED" w:rsidRPr="00F54EC7">
        <w:t>циальной поддержки гра</w:t>
      </w:r>
      <w:r w:rsidR="00CA13ED" w:rsidRPr="00F54EC7">
        <w:t>ж</w:t>
      </w:r>
      <w:r w:rsidR="00CA13ED" w:rsidRPr="00F54EC7">
        <w:t>данам льготируемых категорий</w:t>
      </w:r>
      <w:r w:rsidR="00664CAF">
        <w:t xml:space="preserve"> составили </w:t>
      </w:r>
      <w:r w:rsidR="00CA13ED" w:rsidRPr="00F54EC7">
        <w:t xml:space="preserve"> </w:t>
      </w:r>
      <w:r w:rsidR="00552A33">
        <w:t>85,4</w:t>
      </w:r>
      <w:r w:rsidR="00FC3D95" w:rsidRPr="00F54EC7">
        <w:t xml:space="preserve"> млн.руб</w:t>
      </w:r>
      <w:r w:rsidR="00CE1128" w:rsidRPr="00F54EC7">
        <w:t>.</w:t>
      </w:r>
      <w:r w:rsidR="00FC3D95" w:rsidRPr="00EC688A">
        <w:t xml:space="preserve"> </w:t>
      </w:r>
    </w:p>
    <w:p w:rsidR="001B239B" w:rsidRPr="00197921" w:rsidRDefault="00FC3D95" w:rsidP="00285F57">
      <w:pPr>
        <w:jc w:val="both"/>
      </w:pPr>
      <w:r w:rsidRPr="00EC688A">
        <w:tab/>
      </w:r>
      <w:r w:rsidRPr="00197921">
        <w:t>В рамках областной целевой программы «Снижение напряжённости на рынке тр</w:t>
      </w:r>
      <w:r w:rsidRPr="00197921">
        <w:t>у</w:t>
      </w:r>
      <w:r w:rsidRPr="00197921">
        <w:t>да в Новгородской области</w:t>
      </w:r>
      <w:r w:rsidR="008F74FD" w:rsidRPr="00197921">
        <w:t>» в муниципальном районе предприняты серьёзные меры по снижению безработицы.</w:t>
      </w:r>
      <w:r w:rsidR="00D92C77" w:rsidRPr="00197921">
        <w:t xml:space="preserve"> </w:t>
      </w:r>
      <w:r w:rsidR="008C7760">
        <w:t>Через каналы СМИ и интернет-ресурсы н</w:t>
      </w:r>
      <w:r w:rsidR="00D92C77" w:rsidRPr="00197921">
        <w:t>аселение постоянно и</w:t>
      </w:r>
      <w:r w:rsidR="00D92C77" w:rsidRPr="00197921">
        <w:t>н</w:t>
      </w:r>
      <w:r w:rsidR="00D92C77" w:rsidRPr="00197921">
        <w:t xml:space="preserve">формируется о вакансиях, </w:t>
      </w:r>
      <w:r w:rsidR="009E6FA2" w:rsidRPr="00197921">
        <w:t xml:space="preserve">о </w:t>
      </w:r>
      <w:r w:rsidR="00D92C77" w:rsidRPr="00197921">
        <w:t>проведении ярм</w:t>
      </w:r>
      <w:r w:rsidR="009E6FA2" w:rsidRPr="00197921">
        <w:t xml:space="preserve">арок, профессиональном обучении и </w:t>
      </w:r>
      <w:r w:rsidR="00D92C77" w:rsidRPr="00197921">
        <w:t xml:space="preserve"> проф</w:t>
      </w:r>
      <w:r w:rsidR="00D92C77" w:rsidRPr="00197921">
        <w:t>о</w:t>
      </w:r>
      <w:r w:rsidR="00D92C77" w:rsidRPr="00197921">
        <w:t>риентации</w:t>
      </w:r>
      <w:r w:rsidR="00BE2BD9" w:rsidRPr="00197921">
        <w:t>.</w:t>
      </w:r>
      <w:r w:rsidR="00D92C77" w:rsidRPr="00197921">
        <w:t xml:space="preserve">  </w:t>
      </w:r>
      <w:r w:rsidR="00BE2BD9" w:rsidRPr="00197921">
        <w:t xml:space="preserve">Численность безработных на 1 </w:t>
      </w:r>
      <w:r w:rsidR="00220DD2">
        <w:t xml:space="preserve">января 2012 года </w:t>
      </w:r>
      <w:r w:rsidR="00BE2BD9" w:rsidRPr="00197921">
        <w:t xml:space="preserve">составляет </w:t>
      </w:r>
      <w:r w:rsidR="00220DD2">
        <w:t>93</w:t>
      </w:r>
      <w:r w:rsidR="00BE2BD9" w:rsidRPr="00197921">
        <w:t xml:space="preserve"> челов</w:t>
      </w:r>
      <w:r w:rsidR="00BE2BD9" w:rsidRPr="00197921">
        <w:t>е</w:t>
      </w:r>
      <w:r w:rsidR="00BE2BD9" w:rsidRPr="00197921">
        <w:t>к</w:t>
      </w:r>
      <w:r w:rsidR="00220DD2">
        <w:t>а</w:t>
      </w:r>
      <w:r w:rsidR="00BE2BD9" w:rsidRPr="00197921">
        <w:t xml:space="preserve">, из них </w:t>
      </w:r>
      <w:r w:rsidR="00197921">
        <w:t>5</w:t>
      </w:r>
      <w:r w:rsidR="00220DD2">
        <w:t>0</w:t>
      </w:r>
      <w:r w:rsidR="00197921">
        <w:t>,5</w:t>
      </w:r>
      <w:r w:rsidR="00BE2BD9" w:rsidRPr="00197921">
        <w:t xml:space="preserve"> % -  женщины, </w:t>
      </w:r>
      <w:r w:rsidR="00B57DF0" w:rsidRPr="00197921">
        <w:t>1</w:t>
      </w:r>
      <w:r w:rsidR="00220DD2">
        <w:t>4</w:t>
      </w:r>
      <w:r w:rsidR="00EA050C" w:rsidRPr="00197921">
        <w:t xml:space="preserve"> % - </w:t>
      </w:r>
      <w:r w:rsidR="00BE2BD9" w:rsidRPr="00197921">
        <w:t>молодёж</w:t>
      </w:r>
      <w:r w:rsidR="00EA050C" w:rsidRPr="00197921">
        <w:t>ь до 30 лет</w:t>
      </w:r>
      <w:r w:rsidR="00BE2BD9" w:rsidRPr="00197921">
        <w:t xml:space="preserve">, </w:t>
      </w:r>
      <w:r w:rsidR="004F1EBB" w:rsidRPr="00197921">
        <w:t>1</w:t>
      </w:r>
      <w:r w:rsidR="00220DD2">
        <w:t>7,2</w:t>
      </w:r>
      <w:r w:rsidR="004F1EBB" w:rsidRPr="00197921">
        <w:t xml:space="preserve"> % - </w:t>
      </w:r>
      <w:r w:rsidR="00BE2BD9" w:rsidRPr="00197921">
        <w:t>граждан</w:t>
      </w:r>
      <w:r w:rsidR="009E6FA2" w:rsidRPr="00197921">
        <w:t>е</w:t>
      </w:r>
      <w:r w:rsidR="00BE2BD9" w:rsidRPr="00197921">
        <w:t>, относящи</w:t>
      </w:r>
      <w:r w:rsidR="009E6FA2" w:rsidRPr="00197921">
        <w:t>е</w:t>
      </w:r>
      <w:r w:rsidR="00BE2BD9" w:rsidRPr="00197921">
        <w:t>ся к к</w:t>
      </w:r>
      <w:r w:rsidR="00BE2BD9" w:rsidRPr="00197921">
        <w:t>а</w:t>
      </w:r>
      <w:r w:rsidR="00BE2BD9" w:rsidRPr="00197921">
        <w:t>тегории инвалидов</w:t>
      </w:r>
      <w:r w:rsidR="004F1EBB" w:rsidRPr="00197921">
        <w:t xml:space="preserve">. </w:t>
      </w:r>
      <w:r w:rsidR="00BE2BD9" w:rsidRPr="00197921">
        <w:t>За отчетный период снят</w:t>
      </w:r>
      <w:r w:rsidR="000A543C" w:rsidRPr="00197921">
        <w:t>о</w:t>
      </w:r>
      <w:r w:rsidR="00BE2BD9" w:rsidRPr="00197921">
        <w:t xml:space="preserve"> с учета безработных </w:t>
      </w:r>
      <w:r w:rsidR="00220DD2">
        <w:t>606</w:t>
      </w:r>
      <w:r w:rsidR="00BE2BD9" w:rsidRPr="00197921">
        <w:t xml:space="preserve"> человек, </w:t>
      </w:r>
      <w:r w:rsidR="00EA050C" w:rsidRPr="00197921">
        <w:t xml:space="preserve">из них </w:t>
      </w:r>
      <w:r w:rsidR="00600EF7">
        <w:t>1</w:t>
      </w:r>
      <w:r w:rsidR="00220DD2">
        <w:t>82</w:t>
      </w:r>
      <w:r w:rsidR="00EA050C" w:rsidRPr="00197921">
        <w:t xml:space="preserve"> чел. трудоустроено</w:t>
      </w:r>
      <w:r w:rsidR="009E6DA3">
        <w:t xml:space="preserve"> по направлению службы занятости</w:t>
      </w:r>
      <w:r w:rsidR="00EA050C" w:rsidRPr="00197921">
        <w:t xml:space="preserve">, </w:t>
      </w:r>
      <w:r w:rsidR="00220DD2">
        <w:t>58</w:t>
      </w:r>
      <w:r w:rsidR="009E6FA2" w:rsidRPr="00197921">
        <w:t xml:space="preserve"> чел.</w:t>
      </w:r>
      <w:r w:rsidR="00EA050C" w:rsidRPr="00197921">
        <w:t xml:space="preserve"> направлено на профе</w:t>
      </w:r>
      <w:r w:rsidR="00EA050C" w:rsidRPr="00197921">
        <w:t>с</w:t>
      </w:r>
      <w:r w:rsidR="00EA050C" w:rsidRPr="00197921">
        <w:t>сиональное обучение по</w:t>
      </w:r>
      <w:r w:rsidR="009B7595">
        <w:t xml:space="preserve"> таким </w:t>
      </w:r>
      <w:r w:rsidR="00EA050C" w:rsidRPr="00197921">
        <w:t>специальност</w:t>
      </w:r>
      <w:r w:rsidR="009E6FA2" w:rsidRPr="00197921">
        <w:t>ям</w:t>
      </w:r>
      <w:r w:rsidR="009B7595">
        <w:t xml:space="preserve">, как  </w:t>
      </w:r>
      <w:r w:rsidR="00EA050C" w:rsidRPr="00197921">
        <w:t>плиточник-облицовщик, пользов</w:t>
      </w:r>
      <w:r w:rsidR="00EA050C" w:rsidRPr="00197921">
        <w:t>а</w:t>
      </w:r>
      <w:r w:rsidR="00EA050C" w:rsidRPr="00197921">
        <w:lastRenderedPageBreak/>
        <w:t>тель ПК, охранник</w:t>
      </w:r>
      <w:r w:rsidR="00EC29C9" w:rsidRPr="00197921">
        <w:t>, бухгалтер</w:t>
      </w:r>
      <w:r w:rsidR="00EA050C" w:rsidRPr="00197921">
        <w:t xml:space="preserve">. Выплачено </w:t>
      </w:r>
      <w:r w:rsidR="00220DD2">
        <w:t>4,4</w:t>
      </w:r>
      <w:r w:rsidR="00EA050C" w:rsidRPr="00197921">
        <w:t xml:space="preserve"> млн.руб. пособий по безработице.</w:t>
      </w:r>
      <w:r w:rsidR="009B7595" w:rsidRPr="00197921">
        <w:t xml:space="preserve"> </w:t>
      </w:r>
      <w:r w:rsidR="001B239B" w:rsidRPr="00197921">
        <w:t>В резул</w:t>
      </w:r>
      <w:r w:rsidR="001B239B" w:rsidRPr="00197921">
        <w:t>ь</w:t>
      </w:r>
      <w:r w:rsidR="001B239B" w:rsidRPr="00197921">
        <w:t>тате</w:t>
      </w:r>
      <w:r w:rsidR="009E6FA2" w:rsidRPr="00197921">
        <w:t xml:space="preserve"> </w:t>
      </w:r>
      <w:r w:rsidR="001B239B" w:rsidRPr="00197921">
        <w:t xml:space="preserve"> уровень зарегистрированной безработицы за истекший период</w:t>
      </w:r>
      <w:r w:rsidR="0069719C" w:rsidRPr="00197921">
        <w:t xml:space="preserve"> с</w:t>
      </w:r>
      <w:r w:rsidR="00D10761" w:rsidRPr="00197921">
        <w:t>ост</w:t>
      </w:r>
      <w:r w:rsidR="00D10761" w:rsidRPr="00197921">
        <w:t>а</w:t>
      </w:r>
      <w:r w:rsidR="00D10761" w:rsidRPr="00197921">
        <w:t xml:space="preserve">вил </w:t>
      </w:r>
      <w:r w:rsidR="00B362D2" w:rsidRPr="00197921">
        <w:t>0,</w:t>
      </w:r>
      <w:r w:rsidR="00220DD2">
        <w:t>6</w:t>
      </w:r>
      <w:r w:rsidR="00D10761" w:rsidRPr="00197921">
        <w:t xml:space="preserve"> </w:t>
      </w:r>
      <w:r w:rsidR="0069719C" w:rsidRPr="00197921">
        <w:t>%</w:t>
      </w:r>
      <w:r w:rsidR="003D73FA">
        <w:t xml:space="preserve"> </w:t>
      </w:r>
      <w:r w:rsidR="003D73FA" w:rsidRPr="0021441C">
        <w:t>(по области 1,</w:t>
      </w:r>
      <w:r w:rsidR="002A7087">
        <w:t>3</w:t>
      </w:r>
      <w:r w:rsidR="003D73FA" w:rsidRPr="0021441C">
        <w:t>%)</w:t>
      </w:r>
      <w:r w:rsidR="0069719C" w:rsidRPr="0021441C">
        <w:t>.</w:t>
      </w:r>
    </w:p>
    <w:p w:rsidR="0069719C" w:rsidRDefault="00F24626" w:rsidP="00285F57">
      <w:pPr>
        <w:jc w:val="both"/>
      </w:pPr>
      <w:r>
        <w:rPr>
          <w:noProof/>
          <w:sz w:val="28"/>
          <w:szCs w:val="28"/>
        </w:rPr>
        <w:drawing>
          <wp:inline distT="0" distB="0" distL="0" distR="0">
            <wp:extent cx="5097145" cy="2404745"/>
            <wp:effectExtent l="0" t="0" r="0" b="0"/>
            <wp:docPr id="3" name="Объект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7760" w:rsidRPr="008C7760" w:rsidRDefault="009A011C" w:rsidP="008C7760">
      <w:pPr>
        <w:jc w:val="both"/>
      </w:pPr>
      <w:r>
        <w:tab/>
      </w:r>
      <w:r w:rsidR="008C7760">
        <w:t>Р</w:t>
      </w:r>
      <w:r w:rsidR="008C7760" w:rsidRPr="008C7760">
        <w:t xml:space="preserve">еализованы мероприятия по содействию развития малого предпринимательства и самозанятости. </w:t>
      </w:r>
      <w:r w:rsidR="008C7760">
        <w:t>В</w:t>
      </w:r>
      <w:r w:rsidR="008C7760" w:rsidRPr="008C7760">
        <w:t xml:space="preserve"> </w:t>
      </w:r>
      <w:r>
        <w:t>2011</w:t>
      </w:r>
      <w:r w:rsidR="008C7760" w:rsidRPr="008C7760">
        <w:t xml:space="preserve"> году материальную поддержку получили </w:t>
      </w:r>
      <w:r w:rsidR="008C7760">
        <w:t>18</w:t>
      </w:r>
      <w:r w:rsidR="008C7760" w:rsidRPr="008C7760">
        <w:t xml:space="preserve"> начинающих предпр</w:t>
      </w:r>
      <w:r w:rsidR="008C7760" w:rsidRPr="008C7760">
        <w:t>и</w:t>
      </w:r>
      <w:r w:rsidR="008C7760" w:rsidRPr="008C7760">
        <w:t xml:space="preserve">нимателей на общую сумму </w:t>
      </w:r>
      <w:r w:rsidR="004E7457">
        <w:t>1,1млн</w:t>
      </w:r>
      <w:r w:rsidR="002A633E">
        <w:t>.руб. в таких сферах деятельности, как сельское хозя</w:t>
      </w:r>
      <w:r w:rsidR="002A633E">
        <w:t>й</w:t>
      </w:r>
      <w:r w:rsidR="002A633E">
        <w:t xml:space="preserve">ство. транспортные услуги, торговля. фотоуслуги, швейное дело. </w:t>
      </w:r>
    </w:p>
    <w:p w:rsidR="006773B9" w:rsidRDefault="006773B9" w:rsidP="00285F57">
      <w:pPr>
        <w:jc w:val="both"/>
        <w:rPr>
          <w:b/>
        </w:rPr>
      </w:pPr>
    </w:p>
    <w:p w:rsidR="0069719C" w:rsidRPr="00EC688A" w:rsidRDefault="00C07444" w:rsidP="00A62854">
      <w:pPr>
        <w:jc w:val="center"/>
        <w:rPr>
          <w:b/>
        </w:rPr>
      </w:pPr>
      <w:r w:rsidRPr="00EC688A">
        <w:rPr>
          <w:b/>
        </w:rPr>
        <w:t>ФИНАНСОВАЯ  СФЕРА</w:t>
      </w:r>
    </w:p>
    <w:p w:rsidR="00C07444" w:rsidRPr="00EC688A" w:rsidRDefault="00C07444" w:rsidP="00285F57">
      <w:pPr>
        <w:jc w:val="both"/>
        <w:rPr>
          <w:b/>
        </w:rPr>
      </w:pPr>
    </w:p>
    <w:p w:rsidR="00C07444" w:rsidRPr="00EC688A" w:rsidRDefault="00C07444" w:rsidP="00285F57">
      <w:pPr>
        <w:jc w:val="both"/>
      </w:pPr>
      <w:r w:rsidRPr="00EC688A">
        <w:rPr>
          <w:b/>
        </w:rPr>
        <w:t xml:space="preserve">            </w:t>
      </w:r>
      <w:r w:rsidRPr="00EC688A">
        <w:t>Консолидированный бюджет муниципального района за 201</w:t>
      </w:r>
      <w:r w:rsidR="00762A1B" w:rsidRPr="00EC688A">
        <w:t>1</w:t>
      </w:r>
      <w:r w:rsidRPr="00EC688A">
        <w:t xml:space="preserve"> год исполнен по д</w:t>
      </w:r>
      <w:r w:rsidRPr="00EC688A">
        <w:t>о</w:t>
      </w:r>
      <w:r w:rsidRPr="00EC688A">
        <w:t xml:space="preserve">ходам на </w:t>
      </w:r>
      <w:r w:rsidR="00590A42">
        <w:t xml:space="preserve"> </w:t>
      </w:r>
      <w:r w:rsidR="000D6B90">
        <w:t xml:space="preserve">100,5 </w:t>
      </w:r>
      <w:r w:rsidRPr="00EC688A">
        <w:t>%.</w:t>
      </w:r>
      <w:r w:rsidR="00762A1B" w:rsidRPr="00EC688A">
        <w:t xml:space="preserve"> к годовому плану.</w:t>
      </w:r>
      <w:r w:rsidRPr="00EC688A">
        <w:t xml:space="preserve"> По собственным доходам план 201</w:t>
      </w:r>
      <w:r w:rsidR="008F6918" w:rsidRPr="00EC688A">
        <w:t>1</w:t>
      </w:r>
      <w:r w:rsidRPr="00EC688A">
        <w:t xml:space="preserve"> года выпо</w:t>
      </w:r>
      <w:r w:rsidRPr="00EC688A">
        <w:t>л</w:t>
      </w:r>
      <w:r w:rsidRPr="00EC688A">
        <w:t xml:space="preserve">нен на </w:t>
      </w:r>
      <w:r w:rsidR="000D6B90">
        <w:t xml:space="preserve">104,3 </w:t>
      </w:r>
      <w:r w:rsidR="008F6918" w:rsidRPr="00EC688A">
        <w:t>%</w:t>
      </w:r>
      <w:r w:rsidR="00D217CE">
        <w:t>.</w:t>
      </w:r>
      <w:r w:rsidR="008F6918" w:rsidRPr="00EC688A">
        <w:t xml:space="preserve"> </w:t>
      </w:r>
      <w:r w:rsidRPr="00EC688A">
        <w:t xml:space="preserve">При </w:t>
      </w:r>
      <w:r w:rsidR="008F6918" w:rsidRPr="00EC688A">
        <w:t xml:space="preserve">годовом </w:t>
      </w:r>
      <w:r w:rsidRPr="00EC688A">
        <w:t xml:space="preserve">плане </w:t>
      </w:r>
      <w:r w:rsidR="00E0246A" w:rsidRPr="00EC688A">
        <w:t>1</w:t>
      </w:r>
      <w:r w:rsidR="000D6B90">
        <w:t>74,4</w:t>
      </w:r>
      <w:r w:rsidRPr="00EC688A">
        <w:t xml:space="preserve"> млн.руб. поступило </w:t>
      </w:r>
      <w:r w:rsidR="00533292">
        <w:t>1</w:t>
      </w:r>
      <w:r w:rsidR="000D6B90">
        <w:t>81,8</w:t>
      </w:r>
      <w:r w:rsidR="00E0246A" w:rsidRPr="00EC688A">
        <w:t xml:space="preserve"> </w:t>
      </w:r>
      <w:r w:rsidRPr="00EC688A">
        <w:t>млн.руб. Сумма безво</w:t>
      </w:r>
      <w:r w:rsidRPr="00EC688A">
        <w:t>з</w:t>
      </w:r>
      <w:r w:rsidRPr="00EC688A">
        <w:t>мездных поступлений из областного бюджета (субвенции, субсидии</w:t>
      </w:r>
      <w:r w:rsidR="00D21F9E" w:rsidRPr="00EC688A">
        <w:t>, дотации и иные межбюджетные трансферты)</w:t>
      </w:r>
      <w:r w:rsidRPr="00EC688A">
        <w:t xml:space="preserve"> составила</w:t>
      </w:r>
      <w:r w:rsidR="00E0246A" w:rsidRPr="00EC688A">
        <w:t xml:space="preserve"> </w:t>
      </w:r>
      <w:r w:rsidRPr="00EC688A">
        <w:t xml:space="preserve"> </w:t>
      </w:r>
      <w:r w:rsidR="000D6B90">
        <w:t>379,6 млн</w:t>
      </w:r>
      <w:r w:rsidRPr="00EC688A">
        <w:t xml:space="preserve">.рублей, или </w:t>
      </w:r>
      <w:r w:rsidR="000D6B90">
        <w:t>98,7</w:t>
      </w:r>
      <w:r w:rsidR="008F6918" w:rsidRPr="00EC688A">
        <w:t xml:space="preserve"> </w:t>
      </w:r>
      <w:r w:rsidRPr="00EC688A">
        <w:t>% к плану 201</w:t>
      </w:r>
      <w:r w:rsidR="008F6918" w:rsidRPr="00EC688A">
        <w:t>1</w:t>
      </w:r>
      <w:r w:rsidRPr="00EC688A">
        <w:t xml:space="preserve"> г</w:t>
      </w:r>
      <w:r w:rsidRPr="00EC688A">
        <w:t>о</w:t>
      </w:r>
      <w:r w:rsidRPr="00EC688A">
        <w:t>да.</w:t>
      </w:r>
    </w:p>
    <w:tbl>
      <w:tblPr>
        <w:tblStyle w:val="a3"/>
        <w:tblW w:w="88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428"/>
        <w:gridCol w:w="1260"/>
        <w:gridCol w:w="3191"/>
      </w:tblGrid>
      <w:tr w:rsidR="00C701CA" w:rsidRPr="00EC688A" w:rsidTr="00810D3E">
        <w:trPr>
          <w:trHeight w:val="696"/>
        </w:trPr>
        <w:tc>
          <w:tcPr>
            <w:tcW w:w="8879" w:type="dxa"/>
            <w:gridSpan w:val="3"/>
          </w:tcPr>
          <w:p w:rsidR="00C701CA" w:rsidRDefault="00C701CA" w:rsidP="00BA6E19">
            <w:pPr>
              <w:jc w:val="both"/>
            </w:pPr>
            <w:r w:rsidRPr="00EC688A">
              <w:t xml:space="preserve">     </w:t>
            </w:r>
          </w:p>
          <w:p w:rsidR="00C701CA" w:rsidRPr="00EC688A" w:rsidRDefault="00C701CA" w:rsidP="00BA6E19">
            <w:pPr>
              <w:jc w:val="both"/>
            </w:pPr>
            <w:r w:rsidRPr="00EC688A">
              <w:t xml:space="preserve">    Выполнен  план </w:t>
            </w:r>
            <w:r>
              <w:t xml:space="preserve"> 2011 года </w:t>
            </w:r>
            <w:r w:rsidRPr="00EC688A">
              <w:t>по собственным доходам по следующим видам дох</w:t>
            </w:r>
            <w:r w:rsidRPr="00EC688A">
              <w:t>о</w:t>
            </w:r>
            <w:r w:rsidRPr="00EC688A">
              <w:t>дов:</w:t>
            </w:r>
          </w:p>
        </w:tc>
      </w:tr>
      <w:tr w:rsidR="00C701CA" w:rsidRPr="00EC688A" w:rsidTr="00BA6E19">
        <w:tc>
          <w:tcPr>
            <w:tcW w:w="4428" w:type="dxa"/>
          </w:tcPr>
          <w:p w:rsidR="00C701CA" w:rsidRPr="00EC688A" w:rsidRDefault="00C701CA" w:rsidP="00BA6E19">
            <w:pPr>
              <w:jc w:val="both"/>
            </w:pPr>
            <w:r w:rsidRPr="00EC688A">
              <w:t>-</w:t>
            </w:r>
            <w:r w:rsidR="007C580B">
              <w:t xml:space="preserve"> </w:t>
            </w:r>
            <w:r w:rsidR="007C580B" w:rsidRPr="00EC688A">
              <w:t>налог на доходы физич</w:t>
            </w:r>
            <w:r w:rsidR="007C580B" w:rsidRPr="00EC688A">
              <w:t>е</w:t>
            </w:r>
            <w:r w:rsidR="007C580B" w:rsidRPr="00EC688A">
              <w:t xml:space="preserve">ских лиц                </w:t>
            </w:r>
            <w:r w:rsidR="007C580B">
              <w:t>- е</w:t>
            </w:r>
            <w:r w:rsidRPr="00EC688A">
              <w:t>диный налог на вмененный доход</w:t>
            </w:r>
          </w:p>
        </w:tc>
        <w:tc>
          <w:tcPr>
            <w:tcW w:w="1260" w:type="dxa"/>
          </w:tcPr>
          <w:p w:rsidR="007C580B" w:rsidRDefault="007C580B" w:rsidP="00BA6E19">
            <w:pPr>
              <w:jc w:val="both"/>
            </w:pPr>
            <w:r>
              <w:t>105,0%</w:t>
            </w:r>
          </w:p>
          <w:p w:rsidR="00C701CA" w:rsidRPr="00EC688A" w:rsidRDefault="00C701CA" w:rsidP="00BA6E19">
            <w:pPr>
              <w:jc w:val="both"/>
            </w:pPr>
            <w:r w:rsidRPr="00EC688A">
              <w:t>101,</w:t>
            </w:r>
            <w:r w:rsidR="005F7C80">
              <w:t>1</w:t>
            </w:r>
            <w:r>
              <w:t xml:space="preserve"> </w:t>
            </w:r>
            <w:r w:rsidRPr="00EC688A">
              <w:t>%</w:t>
            </w:r>
          </w:p>
        </w:tc>
        <w:tc>
          <w:tcPr>
            <w:tcW w:w="3191" w:type="dxa"/>
          </w:tcPr>
          <w:p w:rsidR="00C701CA" w:rsidRPr="00EC688A" w:rsidRDefault="00C701CA" w:rsidP="00BA6E19">
            <w:pPr>
              <w:jc w:val="both"/>
            </w:pPr>
          </w:p>
        </w:tc>
      </w:tr>
      <w:tr w:rsidR="00C701CA" w:rsidRPr="00EC688A" w:rsidTr="00BA6E19">
        <w:tc>
          <w:tcPr>
            <w:tcW w:w="4428" w:type="dxa"/>
          </w:tcPr>
          <w:p w:rsidR="00C701CA" w:rsidRPr="00EC688A" w:rsidRDefault="00C701CA" w:rsidP="00BA6E19">
            <w:pPr>
              <w:jc w:val="both"/>
            </w:pPr>
            <w:r w:rsidRPr="00EC688A">
              <w:t>- земельный налог</w:t>
            </w:r>
          </w:p>
        </w:tc>
        <w:tc>
          <w:tcPr>
            <w:tcW w:w="1260" w:type="dxa"/>
          </w:tcPr>
          <w:p w:rsidR="00C701CA" w:rsidRPr="00EC688A" w:rsidRDefault="00C701CA" w:rsidP="00BA6E19">
            <w:pPr>
              <w:jc w:val="both"/>
            </w:pPr>
            <w:r w:rsidRPr="00EC688A">
              <w:t>10</w:t>
            </w:r>
            <w:r w:rsidR="005F7C80">
              <w:t>0</w:t>
            </w:r>
            <w:r w:rsidRPr="00EC688A">
              <w:t>,</w:t>
            </w:r>
            <w:r w:rsidR="005F7C80">
              <w:t>4</w:t>
            </w:r>
            <w:r>
              <w:t xml:space="preserve"> </w:t>
            </w:r>
            <w:r w:rsidRPr="00EC688A">
              <w:t>%</w:t>
            </w:r>
          </w:p>
        </w:tc>
        <w:tc>
          <w:tcPr>
            <w:tcW w:w="3191" w:type="dxa"/>
          </w:tcPr>
          <w:p w:rsidR="00C701CA" w:rsidRPr="00EC688A" w:rsidRDefault="00C701CA" w:rsidP="00BA6E19">
            <w:pPr>
              <w:jc w:val="both"/>
            </w:pPr>
          </w:p>
        </w:tc>
      </w:tr>
      <w:tr w:rsidR="00C701CA" w:rsidRPr="00EC688A" w:rsidTr="00BA6E19">
        <w:tc>
          <w:tcPr>
            <w:tcW w:w="4428" w:type="dxa"/>
          </w:tcPr>
          <w:p w:rsidR="00C701CA" w:rsidRPr="00EC688A" w:rsidRDefault="00C701CA" w:rsidP="00BA6E19">
            <w:pPr>
              <w:jc w:val="both"/>
            </w:pPr>
            <w:r w:rsidRPr="00EC688A">
              <w:t>- государственная пошлина</w:t>
            </w:r>
          </w:p>
        </w:tc>
        <w:tc>
          <w:tcPr>
            <w:tcW w:w="1260" w:type="dxa"/>
          </w:tcPr>
          <w:p w:rsidR="00C701CA" w:rsidRPr="00EC688A" w:rsidRDefault="00C701CA" w:rsidP="00BA6E19">
            <w:pPr>
              <w:jc w:val="both"/>
            </w:pPr>
            <w:r w:rsidRPr="00EC688A">
              <w:t>10</w:t>
            </w:r>
            <w:r>
              <w:t>0</w:t>
            </w:r>
            <w:r w:rsidRPr="00EC688A">
              <w:t>,</w:t>
            </w:r>
            <w:r w:rsidR="005F7C80">
              <w:t>6</w:t>
            </w:r>
            <w:r>
              <w:t xml:space="preserve"> </w:t>
            </w:r>
            <w:r w:rsidRPr="00EC688A">
              <w:t>%</w:t>
            </w:r>
          </w:p>
        </w:tc>
        <w:tc>
          <w:tcPr>
            <w:tcW w:w="3191" w:type="dxa"/>
          </w:tcPr>
          <w:p w:rsidR="00C701CA" w:rsidRPr="00EC688A" w:rsidRDefault="00C701CA" w:rsidP="00BA6E19">
            <w:pPr>
              <w:jc w:val="both"/>
            </w:pPr>
          </w:p>
        </w:tc>
      </w:tr>
      <w:tr w:rsidR="00C701CA" w:rsidRPr="00EC688A" w:rsidTr="00BA6E19">
        <w:tc>
          <w:tcPr>
            <w:tcW w:w="4428" w:type="dxa"/>
          </w:tcPr>
          <w:p w:rsidR="00C701CA" w:rsidRPr="00EC688A" w:rsidRDefault="00C701CA" w:rsidP="00BA6E19">
            <w:pPr>
              <w:jc w:val="both"/>
            </w:pPr>
            <w:r w:rsidRPr="00EC688A">
              <w:t>- налог на имущество физических лиц</w:t>
            </w:r>
          </w:p>
        </w:tc>
        <w:tc>
          <w:tcPr>
            <w:tcW w:w="1260" w:type="dxa"/>
          </w:tcPr>
          <w:p w:rsidR="00C701CA" w:rsidRPr="00EC688A" w:rsidRDefault="00C701CA" w:rsidP="00BA6E19">
            <w:pPr>
              <w:jc w:val="both"/>
            </w:pPr>
            <w:r w:rsidRPr="00EC688A">
              <w:t>10</w:t>
            </w:r>
            <w:r w:rsidR="005F7C80">
              <w:t>2</w:t>
            </w:r>
            <w:r w:rsidRPr="00EC688A">
              <w:t>,</w:t>
            </w:r>
            <w:r w:rsidR="005F7C80">
              <w:t>4</w:t>
            </w:r>
            <w:r w:rsidRPr="00EC688A">
              <w:t>%</w:t>
            </w:r>
          </w:p>
        </w:tc>
        <w:tc>
          <w:tcPr>
            <w:tcW w:w="3191" w:type="dxa"/>
          </w:tcPr>
          <w:p w:rsidR="00C701CA" w:rsidRPr="00EC688A" w:rsidRDefault="00C701CA" w:rsidP="00BA6E19">
            <w:pPr>
              <w:jc w:val="both"/>
            </w:pPr>
          </w:p>
        </w:tc>
      </w:tr>
      <w:tr w:rsidR="00C701CA" w:rsidRPr="00EC688A" w:rsidTr="00BA6E19">
        <w:tc>
          <w:tcPr>
            <w:tcW w:w="4428" w:type="dxa"/>
          </w:tcPr>
          <w:p w:rsidR="00C701CA" w:rsidRPr="00EC688A" w:rsidRDefault="00C701CA" w:rsidP="00BA6E19">
            <w:pPr>
              <w:jc w:val="both"/>
            </w:pPr>
            <w:r w:rsidRPr="00EC688A">
              <w:t>- аренда земли</w:t>
            </w:r>
          </w:p>
        </w:tc>
        <w:tc>
          <w:tcPr>
            <w:tcW w:w="1260" w:type="dxa"/>
          </w:tcPr>
          <w:p w:rsidR="00C701CA" w:rsidRPr="00EC688A" w:rsidRDefault="007C580B" w:rsidP="00BA6E19">
            <w:pPr>
              <w:jc w:val="both"/>
            </w:pPr>
            <w:r>
              <w:t xml:space="preserve">104,0 </w:t>
            </w:r>
            <w:r w:rsidR="00C701CA" w:rsidRPr="00EC688A">
              <w:t>%</w:t>
            </w:r>
          </w:p>
        </w:tc>
        <w:tc>
          <w:tcPr>
            <w:tcW w:w="3191" w:type="dxa"/>
          </w:tcPr>
          <w:p w:rsidR="00C701CA" w:rsidRPr="00EC688A" w:rsidRDefault="00C701CA" w:rsidP="00BA6E19">
            <w:pPr>
              <w:jc w:val="both"/>
            </w:pPr>
          </w:p>
        </w:tc>
      </w:tr>
      <w:tr w:rsidR="00C701CA" w:rsidRPr="00EC688A" w:rsidTr="00BA6E19">
        <w:tc>
          <w:tcPr>
            <w:tcW w:w="4428" w:type="dxa"/>
          </w:tcPr>
          <w:p w:rsidR="00C701CA" w:rsidRPr="00EC688A" w:rsidRDefault="00C701CA" w:rsidP="00BA6E19">
            <w:pPr>
              <w:jc w:val="both"/>
            </w:pPr>
            <w:r w:rsidRPr="00EC688A">
              <w:t>- платные услуги</w:t>
            </w:r>
          </w:p>
        </w:tc>
        <w:tc>
          <w:tcPr>
            <w:tcW w:w="1260" w:type="dxa"/>
          </w:tcPr>
          <w:p w:rsidR="00C701CA" w:rsidRPr="00EC688A" w:rsidRDefault="007C580B" w:rsidP="00BA6E19">
            <w:pPr>
              <w:jc w:val="both"/>
            </w:pPr>
            <w:r>
              <w:t xml:space="preserve">103,5 </w:t>
            </w:r>
            <w:r w:rsidR="00C701CA" w:rsidRPr="00EC688A">
              <w:t>%</w:t>
            </w:r>
          </w:p>
        </w:tc>
        <w:tc>
          <w:tcPr>
            <w:tcW w:w="3191" w:type="dxa"/>
          </w:tcPr>
          <w:p w:rsidR="00C701CA" w:rsidRPr="00EC688A" w:rsidRDefault="00C701CA" w:rsidP="00BA6E19">
            <w:pPr>
              <w:jc w:val="both"/>
            </w:pPr>
          </w:p>
        </w:tc>
      </w:tr>
      <w:tr w:rsidR="00C701CA" w:rsidRPr="00EC688A" w:rsidTr="00BA6E19">
        <w:tc>
          <w:tcPr>
            <w:tcW w:w="4428" w:type="dxa"/>
          </w:tcPr>
          <w:p w:rsidR="00C701CA" w:rsidRPr="00EC688A" w:rsidRDefault="00C701CA" w:rsidP="00BA6E19">
            <w:pPr>
              <w:jc w:val="both"/>
            </w:pPr>
          </w:p>
        </w:tc>
        <w:tc>
          <w:tcPr>
            <w:tcW w:w="1260" w:type="dxa"/>
          </w:tcPr>
          <w:p w:rsidR="00C701CA" w:rsidRPr="00EC688A" w:rsidRDefault="00C701CA" w:rsidP="00BA6E19">
            <w:pPr>
              <w:jc w:val="both"/>
            </w:pPr>
          </w:p>
        </w:tc>
        <w:tc>
          <w:tcPr>
            <w:tcW w:w="3191" w:type="dxa"/>
          </w:tcPr>
          <w:p w:rsidR="00C701CA" w:rsidRPr="00EC688A" w:rsidRDefault="00C701CA" w:rsidP="00BA6E19">
            <w:pPr>
              <w:jc w:val="both"/>
            </w:pPr>
          </w:p>
        </w:tc>
      </w:tr>
    </w:tbl>
    <w:p w:rsidR="00C701CA" w:rsidRPr="00EC688A" w:rsidRDefault="00C701CA" w:rsidP="00C701CA">
      <w:pPr>
        <w:jc w:val="both"/>
      </w:pPr>
      <w:r w:rsidRPr="00EC688A">
        <w:t>Не выполнен план  по следующим видам доходов:</w:t>
      </w:r>
    </w:p>
    <w:tbl>
      <w:tblPr>
        <w:tblStyle w:val="a3"/>
        <w:tblW w:w="12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912"/>
        <w:gridCol w:w="1967"/>
        <w:gridCol w:w="3191"/>
      </w:tblGrid>
      <w:tr w:rsidR="007C580B" w:rsidRPr="00EC688A" w:rsidTr="007C580B">
        <w:tc>
          <w:tcPr>
            <w:tcW w:w="6912" w:type="dxa"/>
          </w:tcPr>
          <w:p w:rsidR="007C580B" w:rsidRDefault="007C580B" w:rsidP="00EB0CBB">
            <w:pPr>
              <w:jc w:val="both"/>
            </w:pPr>
            <w:r w:rsidRPr="00EC688A">
              <w:t>- продажа  имущества</w:t>
            </w:r>
            <w:r>
              <w:t xml:space="preserve">                                     93,5 %</w:t>
            </w:r>
          </w:p>
          <w:p w:rsidR="007C580B" w:rsidRPr="00EC688A" w:rsidRDefault="007C580B" w:rsidP="00EB0CBB">
            <w:pPr>
              <w:jc w:val="both"/>
            </w:pPr>
            <w:r>
              <w:t>- штрафы                                                           97,4 %</w:t>
            </w:r>
          </w:p>
        </w:tc>
        <w:tc>
          <w:tcPr>
            <w:tcW w:w="1967" w:type="dxa"/>
          </w:tcPr>
          <w:p w:rsidR="007C580B" w:rsidRPr="00EC688A" w:rsidRDefault="007C580B" w:rsidP="00EB0CBB">
            <w:pPr>
              <w:jc w:val="both"/>
            </w:pPr>
          </w:p>
        </w:tc>
        <w:tc>
          <w:tcPr>
            <w:tcW w:w="3191" w:type="dxa"/>
          </w:tcPr>
          <w:p w:rsidR="007C580B" w:rsidRPr="00EC688A" w:rsidRDefault="007C580B" w:rsidP="00EB0CBB">
            <w:pPr>
              <w:jc w:val="both"/>
            </w:pPr>
          </w:p>
        </w:tc>
      </w:tr>
    </w:tbl>
    <w:p w:rsidR="00C701CA" w:rsidRDefault="00C07444" w:rsidP="006114BB">
      <w:pPr>
        <w:jc w:val="center"/>
      </w:pPr>
      <w:r w:rsidRPr="00EC688A">
        <w:t xml:space="preserve">      </w:t>
      </w:r>
    </w:p>
    <w:p w:rsidR="00E26EE5" w:rsidRDefault="00E26EE5" w:rsidP="00285F57">
      <w:pPr>
        <w:jc w:val="both"/>
      </w:pPr>
      <w:r w:rsidRPr="00EC688A">
        <w:t xml:space="preserve">            </w:t>
      </w:r>
      <w:r w:rsidR="004B234B" w:rsidRPr="00EC688A">
        <w:t xml:space="preserve">  </w:t>
      </w:r>
      <w:r w:rsidRPr="00EC688A">
        <w:t xml:space="preserve">Расходы консолидированного бюджета </w:t>
      </w:r>
      <w:r w:rsidR="00916E75">
        <w:t xml:space="preserve">за  2011 год </w:t>
      </w:r>
      <w:r w:rsidRPr="00EC688A">
        <w:t xml:space="preserve">составили </w:t>
      </w:r>
      <w:r w:rsidR="00857EC9">
        <w:t>560,6 м</w:t>
      </w:r>
      <w:r w:rsidRPr="00EC688A">
        <w:t>лн.руб.</w:t>
      </w:r>
    </w:p>
    <w:p w:rsidR="00E26EE5" w:rsidRPr="00EC688A" w:rsidRDefault="00E26EE5" w:rsidP="00285F57">
      <w:pPr>
        <w:jc w:val="both"/>
      </w:pPr>
      <w:r w:rsidRPr="00EC688A">
        <w:t xml:space="preserve">             Основными получателями бюджетных средств</w:t>
      </w:r>
      <w:r w:rsidR="00916E75">
        <w:t xml:space="preserve"> </w:t>
      </w:r>
      <w:r w:rsidRPr="00EC688A">
        <w:t xml:space="preserve"> являются следующие отрасли:</w:t>
      </w:r>
    </w:p>
    <w:p w:rsidR="00E26EE5" w:rsidRPr="00EC688A" w:rsidRDefault="00E26EE5" w:rsidP="00285F57">
      <w:pPr>
        <w:jc w:val="both"/>
      </w:pPr>
      <w:r w:rsidRPr="00EC688A">
        <w:rPr>
          <w:b/>
        </w:rPr>
        <w:t>-</w:t>
      </w:r>
      <w:r w:rsidR="00142C7F" w:rsidRPr="00EC688A">
        <w:rPr>
          <w:b/>
        </w:rPr>
        <w:t xml:space="preserve"> </w:t>
      </w:r>
      <w:r w:rsidRPr="00EC688A">
        <w:rPr>
          <w:b/>
        </w:rPr>
        <w:t>Образование</w:t>
      </w:r>
      <w:r w:rsidRPr="00EC688A">
        <w:t xml:space="preserve"> –  </w:t>
      </w:r>
      <w:r w:rsidR="00857EC9">
        <w:t xml:space="preserve">170,0 </w:t>
      </w:r>
      <w:r w:rsidRPr="00EC688A">
        <w:t xml:space="preserve">млн.руб., удельный вес в общем объёме расходов  – </w:t>
      </w:r>
      <w:r w:rsidR="00857EC9">
        <w:t>30,3</w:t>
      </w:r>
      <w:r w:rsidR="00EF3E21" w:rsidRPr="00EC688A">
        <w:t xml:space="preserve"> </w:t>
      </w:r>
      <w:r w:rsidRPr="00EC688A">
        <w:t>%.</w:t>
      </w:r>
    </w:p>
    <w:p w:rsidR="00EF3E21" w:rsidRPr="00EC688A" w:rsidRDefault="00E26EE5" w:rsidP="00285F57">
      <w:pPr>
        <w:jc w:val="both"/>
      </w:pPr>
      <w:r w:rsidRPr="00EC688A">
        <w:rPr>
          <w:b/>
        </w:rPr>
        <w:t>-</w:t>
      </w:r>
      <w:r w:rsidR="00142C7F" w:rsidRPr="00EC688A">
        <w:rPr>
          <w:b/>
        </w:rPr>
        <w:t xml:space="preserve"> </w:t>
      </w:r>
      <w:r w:rsidRPr="00EC688A">
        <w:rPr>
          <w:b/>
        </w:rPr>
        <w:t>Социальная политика</w:t>
      </w:r>
      <w:r w:rsidRPr="00EC688A">
        <w:t xml:space="preserve"> – </w:t>
      </w:r>
      <w:r w:rsidR="00857EC9">
        <w:t>119,1</w:t>
      </w:r>
      <w:r w:rsidR="00325B0C" w:rsidRPr="00EC688A">
        <w:t xml:space="preserve"> </w:t>
      </w:r>
      <w:r w:rsidR="00916E75">
        <w:t>млн.</w:t>
      </w:r>
      <w:r w:rsidR="00FE2644">
        <w:t xml:space="preserve"> </w:t>
      </w:r>
      <w:r w:rsidR="00916E75">
        <w:t>руб.,</w:t>
      </w:r>
      <w:r w:rsidR="00FE2644">
        <w:t xml:space="preserve"> </w:t>
      </w:r>
      <w:r w:rsidRPr="00EC688A">
        <w:t xml:space="preserve">удельный вес в общем объеме расходов </w:t>
      </w:r>
      <w:r w:rsidR="00EF3E21" w:rsidRPr="00EC688A">
        <w:t xml:space="preserve">– </w:t>
      </w:r>
      <w:r w:rsidR="00857EC9">
        <w:t>21,2</w:t>
      </w:r>
      <w:r w:rsidR="00EF3E21" w:rsidRPr="00EC688A">
        <w:t xml:space="preserve"> %.</w:t>
      </w:r>
    </w:p>
    <w:p w:rsidR="00EF3E21" w:rsidRPr="00EC688A" w:rsidRDefault="00E26EE5" w:rsidP="00285F57">
      <w:pPr>
        <w:jc w:val="both"/>
      </w:pPr>
      <w:r w:rsidRPr="00EC688A">
        <w:rPr>
          <w:b/>
        </w:rPr>
        <w:t>-</w:t>
      </w:r>
      <w:r w:rsidR="00142C7F" w:rsidRPr="00EC688A">
        <w:rPr>
          <w:b/>
        </w:rPr>
        <w:t xml:space="preserve"> </w:t>
      </w:r>
      <w:r w:rsidRPr="00EC688A">
        <w:rPr>
          <w:b/>
        </w:rPr>
        <w:t>Здравоохранение</w:t>
      </w:r>
      <w:r w:rsidRPr="00EC688A">
        <w:t xml:space="preserve"> – </w:t>
      </w:r>
      <w:r w:rsidR="00857EC9">
        <w:t xml:space="preserve">48,1 </w:t>
      </w:r>
      <w:r w:rsidRPr="00EC688A">
        <w:t xml:space="preserve">млн.руб., удельный вес в общем объеме расходов </w:t>
      </w:r>
      <w:r w:rsidR="00EF3E21" w:rsidRPr="00EC688A">
        <w:t xml:space="preserve">– </w:t>
      </w:r>
      <w:r w:rsidR="00857EC9">
        <w:t xml:space="preserve">8,6 </w:t>
      </w:r>
      <w:r w:rsidR="00EF3E21" w:rsidRPr="00EC688A">
        <w:t>%.</w:t>
      </w:r>
    </w:p>
    <w:p w:rsidR="00E26EE5" w:rsidRPr="00EC688A" w:rsidRDefault="00E26EE5" w:rsidP="00285F57">
      <w:pPr>
        <w:jc w:val="both"/>
      </w:pPr>
      <w:r w:rsidRPr="00EC688A">
        <w:rPr>
          <w:b/>
        </w:rPr>
        <w:t>- Жилищно-коммунальное хозяйство</w:t>
      </w:r>
      <w:r w:rsidRPr="00EC688A">
        <w:t xml:space="preserve"> – </w:t>
      </w:r>
      <w:r w:rsidR="00857EC9">
        <w:t>101</w:t>
      </w:r>
      <w:r w:rsidRPr="00EC688A">
        <w:t xml:space="preserve"> млн.руб., удельный вес в общем объёме ра</w:t>
      </w:r>
      <w:r w:rsidRPr="00EC688A">
        <w:t>с</w:t>
      </w:r>
      <w:r w:rsidRPr="00EC688A">
        <w:t>ходов</w:t>
      </w:r>
      <w:r w:rsidR="00916E75">
        <w:t xml:space="preserve"> </w:t>
      </w:r>
      <w:r w:rsidR="00EF3E21" w:rsidRPr="00EC688A">
        <w:t xml:space="preserve"> – </w:t>
      </w:r>
      <w:r w:rsidR="00857EC9">
        <w:t>18</w:t>
      </w:r>
      <w:r w:rsidR="00EF3E21" w:rsidRPr="00EC688A">
        <w:t xml:space="preserve"> %.</w:t>
      </w:r>
    </w:p>
    <w:p w:rsidR="00EF3E21" w:rsidRPr="00EC688A" w:rsidRDefault="00E26EE5" w:rsidP="00285F57">
      <w:pPr>
        <w:jc w:val="both"/>
      </w:pPr>
      <w:r w:rsidRPr="00EC688A">
        <w:rPr>
          <w:b/>
        </w:rPr>
        <w:t>- Культура</w:t>
      </w:r>
      <w:r w:rsidR="00325B0C" w:rsidRPr="00EC688A">
        <w:rPr>
          <w:b/>
        </w:rPr>
        <w:t xml:space="preserve"> </w:t>
      </w:r>
      <w:r w:rsidR="00916E75">
        <w:rPr>
          <w:b/>
        </w:rPr>
        <w:t>и кинематография</w:t>
      </w:r>
      <w:r w:rsidRPr="00EC688A">
        <w:t xml:space="preserve"> – </w:t>
      </w:r>
      <w:r w:rsidR="00857EC9">
        <w:t>32,8</w:t>
      </w:r>
      <w:r w:rsidRPr="00EC688A">
        <w:t xml:space="preserve"> млн.руб., удельный вес в общем объёме расходов </w:t>
      </w:r>
      <w:r w:rsidR="00EF3E21" w:rsidRPr="00EC688A">
        <w:t xml:space="preserve">–  </w:t>
      </w:r>
      <w:r w:rsidR="00857EC9">
        <w:t xml:space="preserve">5,8 </w:t>
      </w:r>
      <w:r w:rsidR="00EF3E21" w:rsidRPr="00EC688A">
        <w:t>%.</w:t>
      </w:r>
    </w:p>
    <w:p w:rsidR="00D93937" w:rsidRPr="00EC688A" w:rsidRDefault="00E26EE5" w:rsidP="00285F57">
      <w:pPr>
        <w:jc w:val="both"/>
      </w:pPr>
      <w:r w:rsidRPr="00EC688A">
        <w:lastRenderedPageBreak/>
        <w:t xml:space="preserve">       </w:t>
      </w:r>
      <w:r w:rsidR="00D93937" w:rsidRPr="00EC688A">
        <w:tab/>
        <w:t>В целом бюджет района по расходам носит  выраженный социальный характер. На финансирование отраслей социально-культурной сферы н</w:t>
      </w:r>
      <w:r w:rsidR="00D93937" w:rsidRPr="00EC688A">
        <w:t>а</w:t>
      </w:r>
      <w:r w:rsidR="00D93937" w:rsidRPr="00EC688A">
        <w:t>правляется  более 80 процентов бюджета ра</w:t>
      </w:r>
      <w:r w:rsidR="00D93937" w:rsidRPr="00EC688A">
        <w:t>й</w:t>
      </w:r>
      <w:r w:rsidR="00D93937" w:rsidRPr="00EC688A">
        <w:t>она.</w:t>
      </w:r>
    </w:p>
    <w:p w:rsidR="007708D8" w:rsidRDefault="00B83E8F" w:rsidP="00285F57">
      <w:pPr>
        <w:jc w:val="both"/>
      </w:pPr>
      <w:r w:rsidRPr="00EC688A">
        <w:tab/>
      </w:r>
      <w:r w:rsidR="008E6ECA" w:rsidRPr="00EC688A">
        <w:t>Для обеспечения плана доходов бюджета в Администрации Валдайского муниц</w:t>
      </w:r>
      <w:r w:rsidR="008E6ECA" w:rsidRPr="00EC688A">
        <w:t>и</w:t>
      </w:r>
      <w:r w:rsidR="008E6ECA" w:rsidRPr="00EC688A">
        <w:t>пального района создана комиссия по работе с неплательщиками, в состав кот</w:t>
      </w:r>
      <w:r w:rsidR="006773B9" w:rsidRPr="00EC688A">
        <w:t>о</w:t>
      </w:r>
      <w:r w:rsidR="008E6ECA" w:rsidRPr="00EC688A">
        <w:t>рой пом</w:t>
      </w:r>
      <w:r w:rsidR="008E6ECA" w:rsidRPr="00EC688A">
        <w:t>и</w:t>
      </w:r>
      <w:r w:rsidR="008E6ECA" w:rsidRPr="00EC688A">
        <w:t>мо работников Администрации входят руководители прокуратуры</w:t>
      </w:r>
      <w:r w:rsidR="00021504" w:rsidRPr="00EC688A">
        <w:t>, РОВД, налоговой и</w:t>
      </w:r>
      <w:r w:rsidR="00021504" w:rsidRPr="00EC688A">
        <w:t>н</w:t>
      </w:r>
      <w:r w:rsidR="00021504" w:rsidRPr="00EC688A">
        <w:t xml:space="preserve">спекции и Пенсионного фонда. В </w:t>
      </w:r>
      <w:r w:rsidR="002C01C1">
        <w:t xml:space="preserve">течение </w:t>
      </w:r>
      <w:r w:rsidR="002B65B1" w:rsidRPr="00EC688A">
        <w:t xml:space="preserve"> </w:t>
      </w:r>
      <w:r w:rsidR="00021504" w:rsidRPr="00EC688A">
        <w:t>201</w:t>
      </w:r>
      <w:r w:rsidR="002B65B1" w:rsidRPr="00EC688A">
        <w:t>1</w:t>
      </w:r>
      <w:r w:rsidR="00021504" w:rsidRPr="00EC688A">
        <w:t xml:space="preserve"> год</w:t>
      </w:r>
      <w:r w:rsidR="002B65B1" w:rsidRPr="00EC688A">
        <w:t>а</w:t>
      </w:r>
      <w:r w:rsidR="00021504" w:rsidRPr="00EC688A">
        <w:t xml:space="preserve"> проведено </w:t>
      </w:r>
      <w:r w:rsidR="001C449C">
        <w:t>7</w:t>
      </w:r>
      <w:r w:rsidR="00957704" w:rsidRPr="00EC688A">
        <w:t xml:space="preserve"> </w:t>
      </w:r>
      <w:r w:rsidR="00021504" w:rsidRPr="00EC688A">
        <w:t>заседани</w:t>
      </w:r>
      <w:r w:rsidR="00314836" w:rsidRPr="00EC688A">
        <w:t>й</w:t>
      </w:r>
      <w:r w:rsidR="00021504" w:rsidRPr="00EC688A">
        <w:t xml:space="preserve"> коми</w:t>
      </w:r>
      <w:r w:rsidR="00021504" w:rsidRPr="00EC688A">
        <w:t>с</w:t>
      </w:r>
      <w:r w:rsidR="00021504" w:rsidRPr="00EC688A">
        <w:t xml:space="preserve">сии </w:t>
      </w:r>
      <w:r w:rsidR="00957704" w:rsidRPr="00EC688A">
        <w:t xml:space="preserve"> по рассмотрению вопросов своевременного поступления налоговых и неналоговых пл</w:t>
      </w:r>
      <w:r w:rsidR="00957704" w:rsidRPr="00EC688A">
        <w:t>а</w:t>
      </w:r>
      <w:r w:rsidR="00957704" w:rsidRPr="00EC688A">
        <w:t>тежей в бюджет района</w:t>
      </w:r>
      <w:r w:rsidR="002B65B1" w:rsidRPr="00EC688A">
        <w:t xml:space="preserve"> и</w:t>
      </w:r>
      <w:r w:rsidR="001C449C">
        <w:t xml:space="preserve"> 11 заседаний по вопросам </w:t>
      </w:r>
      <w:r w:rsidR="002B65B1" w:rsidRPr="00EC688A">
        <w:t xml:space="preserve"> </w:t>
      </w:r>
      <w:r w:rsidR="001C449C">
        <w:t>повышения и легализ</w:t>
      </w:r>
      <w:r w:rsidR="002B65B1" w:rsidRPr="00EC688A">
        <w:t>ации заработной пл</w:t>
      </w:r>
      <w:r w:rsidR="002B65B1" w:rsidRPr="00EC688A">
        <w:t>а</w:t>
      </w:r>
      <w:r w:rsidR="002B65B1" w:rsidRPr="00EC688A">
        <w:t>ты.</w:t>
      </w:r>
    </w:p>
    <w:p w:rsidR="007708D8" w:rsidRDefault="007708D8" w:rsidP="00C57E64">
      <w:pPr>
        <w:jc w:val="center"/>
      </w:pPr>
      <w:r w:rsidRPr="007708D8">
        <w:rPr>
          <w:b/>
          <w:sz w:val="28"/>
          <w:szCs w:val="28"/>
        </w:rPr>
        <w:t>ЖИЛИЩНО</w:t>
      </w:r>
      <w:r>
        <w:rPr>
          <w:b/>
          <w:sz w:val="28"/>
          <w:szCs w:val="28"/>
        </w:rPr>
        <w:t xml:space="preserve"> </w:t>
      </w:r>
      <w:r w:rsidRPr="007708D8">
        <w:rPr>
          <w:b/>
          <w:sz w:val="28"/>
          <w:szCs w:val="28"/>
        </w:rPr>
        <w:t>- КОММУНАЛЬНОЕ ХОЗЯЙСТВО</w:t>
      </w:r>
      <w:r>
        <w:t>.</w:t>
      </w:r>
    </w:p>
    <w:p w:rsidR="00FD2CB3" w:rsidRDefault="00FD2CB3" w:rsidP="00C57E64">
      <w:pPr>
        <w:jc w:val="center"/>
      </w:pPr>
    </w:p>
    <w:p w:rsidR="00E93CDC" w:rsidRDefault="00622359" w:rsidP="00E93CDC">
      <w:pPr>
        <w:jc w:val="both"/>
      </w:pPr>
      <w:r>
        <w:tab/>
      </w:r>
      <w:r w:rsidR="00957704" w:rsidRPr="00957704">
        <w:t xml:space="preserve"> </w:t>
      </w:r>
      <w:r w:rsidR="00E70346">
        <w:t>В целях повышения устойчивой работы коммунального хозяйства разработаны долгосрочные целевые программы «Газификация Валдайского муниципального района</w:t>
      </w:r>
      <w:r>
        <w:t xml:space="preserve"> на 2011-2013 годы» и «Комплексное развитие инфраструктуры водоснабжения и водоотв</w:t>
      </w:r>
      <w:r>
        <w:t>е</w:t>
      </w:r>
      <w:r>
        <w:t>дения на 2011-2015 годы».</w:t>
      </w:r>
      <w:r w:rsidR="00E93CDC" w:rsidRPr="00E93CDC">
        <w:t xml:space="preserve"> </w:t>
      </w:r>
      <w:r w:rsidR="00E93CDC">
        <w:t xml:space="preserve">В </w:t>
      </w:r>
      <w:smartTag w:uri="urn:schemas-microsoft-com:office:smarttags" w:element="metricconverter">
        <w:smartTagPr>
          <w:attr w:name="ProductID" w:val="2011 г"/>
        </w:smartTagPr>
        <w:r w:rsidR="00E93CDC">
          <w:t>2011 г</w:t>
        </w:r>
      </w:smartTag>
      <w:r w:rsidR="00E93CDC">
        <w:t>.  60 семей получили социальную поддержку на газ</w:t>
      </w:r>
      <w:r w:rsidR="00E93CDC">
        <w:t>и</w:t>
      </w:r>
      <w:r w:rsidR="00E93CDC">
        <w:t>фикацию домовлад</w:t>
      </w:r>
      <w:r w:rsidR="00E93CDC">
        <w:t>е</w:t>
      </w:r>
      <w:r w:rsidR="00E93CDC">
        <w:t>ний на общую сумму 1,8 млн.руб.</w:t>
      </w:r>
    </w:p>
    <w:p w:rsidR="0076524C" w:rsidRDefault="0076524C" w:rsidP="00E93CDC">
      <w:pPr>
        <w:jc w:val="both"/>
      </w:pPr>
      <w:r>
        <w:tab/>
      </w:r>
      <w:r w:rsidRPr="00422D0F">
        <w:t xml:space="preserve">В </w:t>
      </w:r>
      <w:smartTag w:uri="urn:schemas-microsoft-com:office:smarttags" w:element="metricconverter">
        <w:smartTagPr>
          <w:attr w:name="ProductID" w:val="2011 г"/>
        </w:smartTagPr>
        <w:r w:rsidRPr="00422D0F">
          <w:t>2011 г</w:t>
        </w:r>
      </w:smartTag>
      <w:r w:rsidRPr="00422D0F">
        <w:t>. построен газопровод низкого давления по улицам Февральская, Берег</w:t>
      </w:r>
      <w:r w:rsidRPr="00422D0F">
        <w:t>о</w:t>
      </w:r>
      <w:r w:rsidRPr="00422D0F">
        <w:t>вая, пер. Приозерный в г.Валдае;</w:t>
      </w:r>
      <w:r>
        <w:t xml:space="preserve"> </w:t>
      </w:r>
      <w:r w:rsidRPr="00422D0F">
        <w:t>изготовлен проект и получено положительное заключ</w:t>
      </w:r>
      <w:r w:rsidRPr="00422D0F">
        <w:t>е</w:t>
      </w:r>
      <w:r w:rsidRPr="00422D0F">
        <w:t>ние Государственной экспертизы Новгородской области на строительство полигона тве</w:t>
      </w:r>
      <w:r w:rsidRPr="00422D0F">
        <w:t>р</w:t>
      </w:r>
      <w:r w:rsidRPr="00422D0F">
        <w:t>дых бытовых отходов в г.Валдай, на месте существующей городской свалки.</w:t>
      </w:r>
      <w:r>
        <w:t xml:space="preserve"> О</w:t>
      </w:r>
      <w:r w:rsidRPr="00422D0F">
        <w:t>тремонт</w:t>
      </w:r>
      <w:r w:rsidRPr="00422D0F">
        <w:t>и</w:t>
      </w:r>
      <w:r w:rsidRPr="00422D0F">
        <w:t xml:space="preserve">ровано </w:t>
      </w:r>
      <w:smartTag w:uri="urn:schemas-microsoft-com:office:smarttags" w:element="metricconverter">
        <w:smartTagPr>
          <w:attr w:name="ProductID" w:val="2,5 км"/>
        </w:smartTagPr>
        <w:r w:rsidRPr="00422D0F">
          <w:t>2,5 км</w:t>
        </w:r>
      </w:smartTag>
      <w:r w:rsidRPr="00422D0F">
        <w:t>.  участка дороги Валдай – Ивантеево,</w:t>
      </w:r>
      <w:r>
        <w:t xml:space="preserve"> </w:t>
      </w:r>
      <w:smartTag w:uri="urn:schemas-microsoft-com:office:smarttags" w:element="metricconverter">
        <w:smartTagPr>
          <w:attr w:name="ProductID" w:val="0,8 км"/>
        </w:smartTagPr>
        <w:r w:rsidRPr="00422D0F">
          <w:t>0,8 км</w:t>
        </w:r>
      </w:smartTag>
      <w:r w:rsidRPr="00422D0F">
        <w:t>. улицы Молодежная в г. Ва</w:t>
      </w:r>
      <w:r w:rsidRPr="00422D0F">
        <w:t>л</w:t>
      </w:r>
      <w:r w:rsidRPr="00422D0F">
        <w:t>дай</w:t>
      </w:r>
    </w:p>
    <w:p w:rsidR="0076524C" w:rsidRDefault="00622359" w:rsidP="0076524C">
      <w:pPr>
        <w:jc w:val="both"/>
      </w:pPr>
      <w:r>
        <w:tab/>
      </w:r>
    </w:p>
    <w:p w:rsidR="0076524C" w:rsidRDefault="0076524C" w:rsidP="0076524C">
      <w:pPr>
        <w:jc w:val="center"/>
        <w:rPr>
          <w:b/>
        </w:rPr>
      </w:pPr>
      <w:r w:rsidRPr="00000E4E">
        <w:rPr>
          <w:b/>
        </w:rPr>
        <w:t>Неэффективные расходы в сфере ЖКХ.</w:t>
      </w:r>
    </w:p>
    <w:p w:rsidR="0076524C" w:rsidRPr="00BC25A8" w:rsidRDefault="0076524C" w:rsidP="0076524C">
      <w:pPr>
        <w:jc w:val="both"/>
      </w:pPr>
      <w:r>
        <w:rPr>
          <w:b/>
        </w:rPr>
        <w:t xml:space="preserve">                                                                                                   </w:t>
      </w:r>
      <w:r w:rsidRPr="00BC25A8">
        <w:t>тыс.руб.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3528"/>
        <w:gridCol w:w="1440"/>
        <w:gridCol w:w="1800"/>
        <w:gridCol w:w="1440"/>
      </w:tblGrid>
      <w:tr w:rsidR="0076524C" w:rsidTr="00EF37BD">
        <w:tc>
          <w:tcPr>
            <w:tcW w:w="3528" w:type="dxa"/>
          </w:tcPr>
          <w:p w:rsidR="0076524C" w:rsidRDefault="0076524C" w:rsidP="00EF37BD">
            <w:pPr>
              <w:jc w:val="both"/>
            </w:pPr>
          </w:p>
        </w:tc>
        <w:tc>
          <w:tcPr>
            <w:tcW w:w="1440" w:type="dxa"/>
          </w:tcPr>
          <w:p w:rsidR="0076524C" w:rsidRDefault="0076524C" w:rsidP="00EF37BD">
            <w:pPr>
              <w:jc w:val="both"/>
            </w:pPr>
            <w:r>
              <w:t>2010 год</w:t>
            </w:r>
          </w:p>
        </w:tc>
        <w:tc>
          <w:tcPr>
            <w:tcW w:w="1800" w:type="dxa"/>
          </w:tcPr>
          <w:p w:rsidR="0076524C" w:rsidRDefault="0076524C" w:rsidP="00EF37BD">
            <w:pPr>
              <w:jc w:val="both"/>
            </w:pPr>
            <w:r>
              <w:t>2011 год</w:t>
            </w:r>
          </w:p>
        </w:tc>
        <w:tc>
          <w:tcPr>
            <w:tcW w:w="1440" w:type="dxa"/>
          </w:tcPr>
          <w:p w:rsidR="0076524C" w:rsidRDefault="0076524C" w:rsidP="00EF37BD">
            <w:pPr>
              <w:jc w:val="both"/>
            </w:pPr>
            <w:r>
              <w:t>В % к 2010 году</w:t>
            </w:r>
          </w:p>
        </w:tc>
      </w:tr>
      <w:tr w:rsidR="0076524C" w:rsidTr="00EF37BD">
        <w:tc>
          <w:tcPr>
            <w:tcW w:w="3528" w:type="dxa"/>
          </w:tcPr>
          <w:p w:rsidR="0076524C" w:rsidRDefault="0076524C" w:rsidP="00EF37BD">
            <w:pPr>
              <w:jc w:val="both"/>
            </w:pPr>
            <w:r>
              <w:t>Неэффективные расходы</w:t>
            </w:r>
          </w:p>
        </w:tc>
        <w:tc>
          <w:tcPr>
            <w:tcW w:w="1440" w:type="dxa"/>
          </w:tcPr>
          <w:p w:rsidR="0076524C" w:rsidRDefault="0076524C" w:rsidP="00EF37BD">
            <w:pPr>
              <w:jc w:val="both"/>
            </w:pPr>
            <w:r>
              <w:t>14858,0</w:t>
            </w:r>
          </w:p>
        </w:tc>
        <w:tc>
          <w:tcPr>
            <w:tcW w:w="1800" w:type="dxa"/>
          </w:tcPr>
          <w:p w:rsidR="0076524C" w:rsidRDefault="0076524C" w:rsidP="00EF37BD">
            <w:pPr>
              <w:jc w:val="both"/>
            </w:pPr>
            <w:r>
              <w:t xml:space="preserve">16552,0 </w:t>
            </w:r>
          </w:p>
        </w:tc>
        <w:tc>
          <w:tcPr>
            <w:tcW w:w="1440" w:type="dxa"/>
          </w:tcPr>
          <w:p w:rsidR="0076524C" w:rsidRDefault="0076524C" w:rsidP="00EF37BD">
            <w:pPr>
              <w:jc w:val="both"/>
            </w:pPr>
            <w:r>
              <w:t>111,4</w:t>
            </w:r>
          </w:p>
        </w:tc>
      </w:tr>
    </w:tbl>
    <w:p w:rsidR="0076524C" w:rsidRDefault="0076524C" w:rsidP="00285F57">
      <w:pPr>
        <w:jc w:val="both"/>
      </w:pPr>
    </w:p>
    <w:p w:rsidR="00983EFA" w:rsidRDefault="0076524C" w:rsidP="00285F57">
      <w:pPr>
        <w:jc w:val="both"/>
      </w:pPr>
      <w:r>
        <w:tab/>
      </w:r>
      <w:r w:rsidR="00622359">
        <w:t xml:space="preserve">Для снижения неэффективных расходов в сфере ЖКХ </w:t>
      </w:r>
      <w:r w:rsidR="00267611">
        <w:t xml:space="preserve">за </w:t>
      </w:r>
      <w:r w:rsidR="00D96D89">
        <w:t>2011</w:t>
      </w:r>
      <w:r w:rsidR="0073227E">
        <w:t xml:space="preserve"> год </w:t>
      </w:r>
      <w:r w:rsidR="00622359">
        <w:t>проведены раб</w:t>
      </w:r>
      <w:r w:rsidR="00622359">
        <w:t>о</w:t>
      </w:r>
      <w:r w:rsidR="00622359">
        <w:t>ты по</w:t>
      </w:r>
      <w:r w:rsidR="00D252AB">
        <w:t xml:space="preserve"> текущему </w:t>
      </w:r>
      <w:r w:rsidR="00622359">
        <w:t>ремонту</w:t>
      </w:r>
      <w:r w:rsidR="0041740A">
        <w:t xml:space="preserve"> </w:t>
      </w:r>
      <w:r w:rsidR="00983EFA">
        <w:t>9</w:t>
      </w:r>
      <w:r w:rsidR="00156D44">
        <w:t xml:space="preserve"> </w:t>
      </w:r>
      <w:r w:rsidR="00622359">
        <w:t>котл</w:t>
      </w:r>
      <w:r w:rsidR="00983EFA">
        <w:t>ов</w:t>
      </w:r>
      <w:r w:rsidR="009E6FA2">
        <w:t>,</w:t>
      </w:r>
      <w:r w:rsidR="00267611">
        <w:t xml:space="preserve"> 11 водонагревателей, </w:t>
      </w:r>
      <w:r w:rsidR="00D252AB">
        <w:t xml:space="preserve"> </w:t>
      </w:r>
      <w:r w:rsidR="00983EFA">
        <w:t>17</w:t>
      </w:r>
      <w:r w:rsidR="003D73FA">
        <w:t xml:space="preserve"> </w:t>
      </w:r>
      <w:r w:rsidR="00017532">
        <w:t xml:space="preserve">насосов, </w:t>
      </w:r>
      <w:r w:rsidR="00983EFA">
        <w:t>2 вентиляторов, 65 водозаборных колонок,</w:t>
      </w:r>
      <w:r w:rsidR="003C53DD">
        <w:t xml:space="preserve"> </w:t>
      </w:r>
      <w:smartTag w:uri="urn:schemas-microsoft-com:office:smarttags" w:element="metricconverter">
        <w:smartTagPr>
          <w:attr w:name="ProductID" w:val="12,9 км"/>
        </w:smartTagPr>
        <w:r w:rsidR="003C53DD">
          <w:t xml:space="preserve">12,9 </w:t>
        </w:r>
        <w:r w:rsidR="00C13233">
          <w:t>км</w:t>
        </w:r>
      </w:smartTag>
      <w:r w:rsidR="00C13233">
        <w:t>. канализационных сетей</w:t>
      </w:r>
      <w:r w:rsidR="003C53DD">
        <w:t>, подготовке двух д</w:t>
      </w:r>
      <w:r w:rsidR="003C53DD">
        <w:t>и</w:t>
      </w:r>
      <w:r w:rsidR="00267611">
        <w:t>зель-электростанций, замене насоса в котельной №9</w:t>
      </w:r>
      <w:r w:rsidR="006A1474">
        <w:t xml:space="preserve"> и </w:t>
      </w:r>
      <w:r w:rsidR="00267611">
        <w:t xml:space="preserve"> </w:t>
      </w:r>
      <w:r w:rsidR="00FD5764">
        <w:t xml:space="preserve">части </w:t>
      </w:r>
      <w:r w:rsidR="00267611">
        <w:t>участка тепл</w:t>
      </w:r>
      <w:r w:rsidR="008C5B5C">
        <w:t>овой сети  от этой котельной,</w:t>
      </w:r>
      <w:r w:rsidR="006A1474">
        <w:t xml:space="preserve"> замене оборудования котельной №13, </w:t>
      </w:r>
      <w:r w:rsidR="008C5B5C">
        <w:t xml:space="preserve"> подготовлено к зиме </w:t>
      </w:r>
      <w:smartTag w:uri="urn:schemas-microsoft-com:office:smarttags" w:element="metricconverter">
        <w:smartTagPr>
          <w:attr w:name="ProductID" w:val="17,8 км"/>
        </w:smartTagPr>
        <w:r w:rsidR="008C5B5C">
          <w:t>17,8 км</w:t>
        </w:r>
      </w:smartTag>
      <w:r w:rsidR="008C5B5C">
        <w:t>. водопр</w:t>
      </w:r>
      <w:r w:rsidR="008C5B5C">
        <w:t>о</w:t>
      </w:r>
      <w:r w:rsidR="008C5B5C">
        <w:t>водных се</w:t>
      </w:r>
      <w:r w:rsidR="006A1474">
        <w:t xml:space="preserve">тей, </w:t>
      </w:r>
      <w:smartTag w:uri="urn:schemas-microsoft-com:office:smarttags" w:element="metricconverter">
        <w:smartTagPr>
          <w:attr w:name="ProductID" w:val="12,9 км"/>
        </w:smartTagPr>
        <w:r w:rsidR="006A1474">
          <w:t>12,9 км</w:t>
        </w:r>
      </w:smartTag>
      <w:r w:rsidR="006A1474">
        <w:t>.</w:t>
      </w:r>
      <w:r w:rsidR="00715005">
        <w:t xml:space="preserve"> канализационных сетей и др.</w:t>
      </w:r>
    </w:p>
    <w:p w:rsidR="00837C3B" w:rsidRDefault="00837C3B" w:rsidP="00285F57">
      <w:pPr>
        <w:jc w:val="both"/>
      </w:pPr>
      <w:r>
        <w:tab/>
      </w:r>
      <w:r w:rsidR="008A324C">
        <w:t>Упра</w:t>
      </w:r>
      <w:r w:rsidR="008A324C">
        <w:t>в</w:t>
      </w:r>
      <w:r w:rsidR="008A324C">
        <w:t xml:space="preserve">ляющими компаниями на средства собственников многоквартирных домов </w:t>
      </w:r>
      <w:r w:rsidR="00C95E8C">
        <w:t>по</w:t>
      </w:r>
      <w:r w:rsidR="0073227E">
        <w:t xml:space="preserve"> статье «Капитальный ремонт» </w:t>
      </w:r>
      <w:r w:rsidR="008A324C">
        <w:t xml:space="preserve">выполнены работы по </w:t>
      </w:r>
      <w:r w:rsidR="00527DAB">
        <w:t>установке входных дверей,  осв</w:t>
      </w:r>
      <w:r w:rsidR="00527DAB">
        <w:t>е</w:t>
      </w:r>
      <w:r w:rsidR="00527DAB">
        <w:t>щени</w:t>
      </w:r>
      <w:r w:rsidR="000A543C">
        <w:t>ю</w:t>
      </w:r>
      <w:r w:rsidR="00527DAB">
        <w:t xml:space="preserve"> входов, </w:t>
      </w:r>
      <w:r w:rsidR="008A324C">
        <w:t>ремонту внутренних систем водоснабжения</w:t>
      </w:r>
      <w:r w:rsidR="00527DAB">
        <w:t>, установке приборов учета</w:t>
      </w:r>
      <w:r w:rsidR="0073227E">
        <w:t xml:space="preserve"> тепловой энергии и холодной воды</w:t>
      </w:r>
      <w:r w:rsidR="0030336A">
        <w:t>, косметические ремонты подъездов, капитальные р</w:t>
      </w:r>
      <w:r w:rsidR="0030336A">
        <w:t>е</w:t>
      </w:r>
      <w:r w:rsidR="0030336A">
        <w:t>монты канализационных сетей</w:t>
      </w:r>
      <w:r w:rsidR="00D91D8F">
        <w:t xml:space="preserve">, ремонты кровель и фасадов зданий </w:t>
      </w:r>
      <w:r w:rsidR="008A324C">
        <w:t>В целом на эти цели н</w:t>
      </w:r>
      <w:r w:rsidR="008A324C">
        <w:t>а</w:t>
      </w:r>
      <w:r w:rsidR="008A324C">
        <w:t xml:space="preserve">правлено </w:t>
      </w:r>
      <w:r w:rsidR="00715005">
        <w:t>14,4</w:t>
      </w:r>
      <w:r w:rsidR="008A324C">
        <w:t xml:space="preserve"> </w:t>
      </w:r>
      <w:r w:rsidR="00156D44">
        <w:t>млн</w:t>
      </w:r>
      <w:r w:rsidR="008A324C">
        <w:t>.руб.</w:t>
      </w:r>
    </w:p>
    <w:p w:rsidR="00CF625C" w:rsidRDefault="004D0D60" w:rsidP="00285F57">
      <w:pPr>
        <w:jc w:val="both"/>
      </w:pPr>
      <w:r>
        <w:tab/>
        <w:t xml:space="preserve">В </w:t>
      </w:r>
      <w:r w:rsidR="00C102AD">
        <w:t xml:space="preserve">текущем периоде </w:t>
      </w:r>
      <w:r>
        <w:t>за счёт средств сетевых организаций – Производственного о</w:t>
      </w:r>
      <w:r>
        <w:t>т</w:t>
      </w:r>
      <w:r>
        <w:t>деления «Валдайские электрические сети» и Валдайского филиала ОАО «Новгородоб</w:t>
      </w:r>
      <w:r>
        <w:t>л</w:t>
      </w:r>
      <w:r>
        <w:t xml:space="preserve">коммунэнерго» выполнены работы по </w:t>
      </w:r>
      <w:r w:rsidR="00CF625C">
        <w:t>текущему ремонту и обслуживанию линий эле</w:t>
      </w:r>
      <w:r w:rsidR="00CF625C">
        <w:t>к</w:t>
      </w:r>
      <w:r w:rsidR="00CF625C">
        <w:t>троп</w:t>
      </w:r>
      <w:r w:rsidR="00C102AD">
        <w:t>е</w:t>
      </w:r>
      <w:r w:rsidR="00CF625C">
        <w:t>редач, расчистке трасс энергоснабжения</w:t>
      </w:r>
      <w:r w:rsidR="0030336A">
        <w:t xml:space="preserve"> на площади </w:t>
      </w:r>
      <w:smartTag w:uri="urn:schemas-microsoft-com:office:smarttags" w:element="metricconverter">
        <w:smartTagPr>
          <w:attr w:name="ProductID" w:val="166,4 га"/>
        </w:smartTagPr>
        <w:r w:rsidR="0030336A">
          <w:t>166,4 га</w:t>
        </w:r>
      </w:smartTag>
      <w:r w:rsidR="00CF625C">
        <w:t>, проведению грозоз</w:t>
      </w:r>
      <w:r w:rsidR="00CF625C">
        <w:t>а</w:t>
      </w:r>
      <w:r w:rsidR="00CF625C">
        <w:t>щиты на 35 трансформаторных подс</w:t>
      </w:r>
      <w:r w:rsidR="00C102AD">
        <w:t>т</w:t>
      </w:r>
      <w:r w:rsidR="00A87A0F">
        <w:t xml:space="preserve">анциях, реконструкции </w:t>
      </w:r>
      <w:smartTag w:uri="urn:schemas-microsoft-com:office:smarttags" w:element="metricconverter">
        <w:smartTagPr>
          <w:attr w:name="ProductID" w:val="34,7 км"/>
        </w:smartTagPr>
        <w:r w:rsidR="00541737">
          <w:t>34,7</w:t>
        </w:r>
        <w:r w:rsidR="00A87A0F">
          <w:t xml:space="preserve"> км</w:t>
        </w:r>
      </w:smartTag>
      <w:r w:rsidR="00A87A0F">
        <w:t>. высоковольтных л</w:t>
      </w:r>
      <w:r w:rsidR="00A87A0F">
        <w:t>и</w:t>
      </w:r>
      <w:r w:rsidR="00A87A0F">
        <w:t>ний.</w:t>
      </w:r>
      <w:r w:rsidR="00CF625C">
        <w:t xml:space="preserve"> В многоквартирных домах установлено 40 общедомовых приборов учета</w:t>
      </w:r>
      <w:r w:rsidR="003B1F3D">
        <w:t>, подключ</w:t>
      </w:r>
      <w:r w:rsidR="003B1F3D">
        <w:t>е</w:t>
      </w:r>
      <w:r w:rsidR="003B1F3D">
        <w:t>но 19 новых потребителей эле</w:t>
      </w:r>
      <w:r w:rsidR="003B1F3D">
        <w:t>к</w:t>
      </w:r>
      <w:r w:rsidR="003B1F3D">
        <w:t>троэнергии.</w:t>
      </w:r>
      <w:r w:rsidR="00CF625C">
        <w:t xml:space="preserve">  </w:t>
      </w:r>
    </w:p>
    <w:p w:rsidR="00C242B7" w:rsidRDefault="004D0D60" w:rsidP="00285F57">
      <w:pPr>
        <w:jc w:val="both"/>
      </w:pPr>
      <w:r>
        <w:tab/>
      </w:r>
      <w:r w:rsidR="003B1F3D">
        <w:t xml:space="preserve">В </w:t>
      </w:r>
      <w:smartTag w:uri="urn:schemas-microsoft-com:office:smarttags" w:element="metricconverter">
        <w:smartTagPr>
          <w:attr w:name="ProductID" w:val="2011 г"/>
        </w:smartTagPr>
        <w:r w:rsidR="003B1F3D">
          <w:t>2011 г</w:t>
        </w:r>
      </w:smartTag>
      <w:r w:rsidR="00E93CDC">
        <w:t>.</w:t>
      </w:r>
      <w:r w:rsidR="003B1F3D">
        <w:t xml:space="preserve"> силами треста-филиала «Валдаймежрайгаз» проведено техническое о</w:t>
      </w:r>
      <w:r w:rsidR="003B1F3D">
        <w:t>б</w:t>
      </w:r>
      <w:r w:rsidR="003B1F3D">
        <w:t xml:space="preserve">служивание газового оборудования в </w:t>
      </w:r>
      <w:r w:rsidR="006D7CD5">
        <w:t>5620</w:t>
      </w:r>
      <w:r w:rsidR="003B1F3D">
        <w:t xml:space="preserve"> квартирах, установлено </w:t>
      </w:r>
      <w:r w:rsidR="006D7CD5">
        <w:t>244</w:t>
      </w:r>
      <w:r w:rsidR="003B1F3D">
        <w:t xml:space="preserve"> приборов уч</w:t>
      </w:r>
      <w:r w:rsidR="003B1F3D">
        <w:t>е</w:t>
      </w:r>
      <w:r w:rsidR="003B1F3D">
        <w:t xml:space="preserve">та, газифицировано </w:t>
      </w:r>
      <w:r w:rsidR="006D7CD5">
        <w:t>98</w:t>
      </w:r>
      <w:r w:rsidR="003B1F3D">
        <w:t xml:space="preserve"> квартир и сдано в эксплуатацию </w:t>
      </w:r>
      <w:smartTag w:uri="urn:schemas-microsoft-com:office:smarttags" w:element="metricconverter">
        <w:smartTagPr>
          <w:attr w:name="ProductID" w:val="5,3 км"/>
        </w:smartTagPr>
        <w:r w:rsidR="006D7CD5">
          <w:t>5,3</w:t>
        </w:r>
        <w:r w:rsidR="003B1F3D">
          <w:t xml:space="preserve"> км</w:t>
        </w:r>
      </w:smartTag>
      <w:r w:rsidR="003B1F3D">
        <w:t>. газовых с</w:t>
      </w:r>
      <w:r w:rsidR="003B1F3D">
        <w:t>е</w:t>
      </w:r>
      <w:r w:rsidR="003B1F3D">
        <w:t xml:space="preserve">тей. </w:t>
      </w:r>
    </w:p>
    <w:p w:rsidR="006773B9" w:rsidRDefault="00B123E7" w:rsidP="00285F57">
      <w:pPr>
        <w:jc w:val="both"/>
      </w:pPr>
      <w:r>
        <w:tab/>
      </w:r>
    </w:p>
    <w:p w:rsidR="00D96D89" w:rsidRPr="00D96D89" w:rsidRDefault="004B234B" w:rsidP="00D96D89">
      <w:pPr>
        <w:pStyle w:val="ConsNormal"/>
        <w:widowControl/>
        <w:ind w:right="0" w:firstLine="709"/>
        <w:jc w:val="both"/>
        <w:rPr>
          <w:rFonts w:ascii="Times New Roman" w:hAnsi="Times New Roman"/>
          <w:sz w:val="24"/>
          <w:szCs w:val="24"/>
        </w:rPr>
      </w:pPr>
      <w:r w:rsidRPr="00D96D89">
        <w:rPr>
          <w:sz w:val="24"/>
          <w:szCs w:val="24"/>
        </w:rPr>
        <w:lastRenderedPageBreak/>
        <w:t xml:space="preserve"> </w:t>
      </w:r>
      <w:r w:rsidR="00D96D89" w:rsidRPr="00D96D89">
        <w:rPr>
          <w:rFonts w:ascii="Times New Roman" w:hAnsi="Times New Roman"/>
          <w:sz w:val="24"/>
          <w:szCs w:val="24"/>
        </w:rPr>
        <w:t>Текущий отопительный период проходит устойчиво, все потребители обеспечены теплом, горячей  водой и другими коммунальными услуг</w:t>
      </w:r>
      <w:r w:rsidR="00D96D89" w:rsidRPr="00D96D89">
        <w:rPr>
          <w:rFonts w:ascii="Times New Roman" w:hAnsi="Times New Roman"/>
          <w:sz w:val="24"/>
          <w:szCs w:val="24"/>
        </w:rPr>
        <w:t>а</w:t>
      </w:r>
      <w:r w:rsidR="00D96D89" w:rsidRPr="00D96D89">
        <w:rPr>
          <w:rFonts w:ascii="Times New Roman" w:hAnsi="Times New Roman"/>
          <w:sz w:val="24"/>
          <w:szCs w:val="24"/>
        </w:rPr>
        <w:t>ми.</w:t>
      </w:r>
    </w:p>
    <w:p w:rsidR="00F5510D" w:rsidRDefault="00E93CDC" w:rsidP="00285F57">
      <w:pPr>
        <w:jc w:val="both"/>
      </w:pPr>
      <w:r>
        <w:tab/>
      </w:r>
      <w:r w:rsidR="00836861">
        <w:t xml:space="preserve">В 2011 году </w:t>
      </w:r>
      <w:r w:rsidR="00C102AD">
        <w:t>тарифы на</w:t>
      </w:r>
      <w:r w:rsidR="00836861">
        <w:t xml:space="preserve"> коммунальные услуги выросл</w:t>
      </w:r>
      <w:r w:rsidR="00C102AD">
        <w:t>и</w:t>
      </w:r>
      <w:r w:rsidR="00836861">
        <w:t xml:space="preserve"> на 15%. </w:t>
      </w:r>
      <w:r w:rsidR="0076524C">
        <w:t>Ф</w:t>
      </w:r>
      <w:r w:rsidR="00B30007">
        <w:t>актич</w:t>
      </w:r>
      <w:r w:rsidR="00B30007">
        <w:t>е</w:t>
      </w:r>
      <w:r w:rsidR="00B30007">
        <w:t xml:space="preserve">ский сбор </w:t>
      </w:r>
      <w:r w:rsidR="00F5510D">
        <w:t xml:space="preserve"> платежей граждан по всем видам коммунальных услуг  составил </w:t>
      </w:r>
      <w:r w:rsidR="0076524C">
        <w:t xml:space="preserve"> </w:t>
      </w:r>
      <w:r w:rsidR="002E5208">
        <w:t xml:space="preserve">216,1 млн.руб. или </w:t>
      </w:r>
      <w:r w:rsidR="0076524C">
        <w:t>94,4</w:t>
      </w:r>
      <w:r w:rsidR="00057C11">
        <w:t xml:space="preserve"> </w:t>
      </w:r>
      <w:r w:rsidR="00404094">
        <w:t xml:space="preserve">% от суммы начисленных платежей. </w:t>
      </w:r>
      <w:r w:rsidR="00836861">
        <w:t xml:space="preserve"> Администрацией района и управляющими компан</w:t>
      </w:r>
      <w:r w:rsidR="00836861">
        <w:t>и</w:t>
      </w:r>
      <w:r w:rsidR="00836861">
        <w:t>ями проводится  работа</w:t>
      </w:r>
      <w:r w:rsidR="006D6027">
        <w:t xml:space="preserve"> с населением </w:t>
      </w:r>
      <w:r w:rsidR="00836861">
        <w:t xml:space="preserve"> по погашению </w:t>
      </w:r>
      <w:r w:rsidR="006D6027">
        <w:t>имеющейся задолженности за ко</w:t>
      </w:r>
      <w:r w:rsidR="006D6027">
        <w:t>м</w:t>
      </w:r>
      <w:r w:rsidR="006D6027">
        <w:t>мунальные услуги</w:t>
      </w:r>
      <w:r w:rsidR="00057C11">
        <w:t>. С</w:t>
      </w:r>
      <w:r w:rsidR="00C102AD">
        <w:t xml:space="preserve">умма задолженности </w:t>
      </w:r>
      <w:r w:rsidR="006D6027">
        <w:t xml:space="preserve"> </w:t>
      </w:r>
      <w:r w:rsidR="00836861">
        <w:t xml:space="preserve"> </w:t>
      </w:r>
      <w:r w:rsidR="00057C11">
        <w:t>населения</w:t>
      </w:r>
      <w:r w:rsidR="00836861">
        <w:t xml:space="preserve">  </w:t>
      </w:r>
      <w:r w:rsidR="006D6027">
        <w:t xml:space="preserve">по состоянию на </w:t>
      </w:r>
      <w:r w:rsidR="00836861">
        <w:t xml:space="preserve">1 </w:t>
      </w:r>
      <w:r w:rsidR="0076524C">
        <w:t>января</w:t>
      </w:r>
      <w:r w:rsidR="00057C11">
        <w:t xml:space="preserve"> </w:t>
      </w:r>
      <w:r w:rsidR="00836861">
        <w:t xml:space="preserve"> 201</w:t>
      </w:r>
      <w:r w:rsidR="0076524C">
        <w:t>2</w:t>
      </w:r>
      <w:r w:rsidR="00836861">
        <w:t xml:space="preserve"> г</w:t>
      </w:r>
      <w:r w:rsidR="00836861">
        <w:t>о</w:t>
      </w:r>
      <w:r w:rsidR="00836861">
        <w:t xml:space="preserve">да </w:t>
      </w:r>
      <w:r w:rsidR="006D6027">
        <w:t xml:space="preserve"> </w:t>
      </w:r>
      <w:r w:rsidR="00057C11">
        <w:t>состав</w:t>
      </w:r>
      <w:r w:rsidR="00343230">
        <w:t>л</w:t>
      </w:r>
      <w:r w:rsidR="00343230">
        <w:t>я</w:t>
      </w:r>
      <w:r w:rsidR="00343230">
        <w:t>ет</w:t>
      </w:r>
      <w:r w:rsidR="006D6027">
        <w:t xml:space="preserve"> </w:t>
      </w:r>
      <w:r w:rsidR="0076524C">
        <w:t>82,1</w:t>
      </w:r>
      <w:r w:rsidR="00836861">
        <w:t xml:space="preserve"> млн.руб. </w:t>
      </w:r>
    </w:p>
    <w:p w:rsidR="00F5510D" w:rsidRDefault="004275DD" w:rsidP="0076524C">
      <w:r>
        <w:tab/>
      </w:r>
      <w:r w:rsidR="00F5510D">
        <w:t>В основных направлениях антикризисных действий</w:t>
      </w:r>
      <w:r w:rsidR="001C0E41">
        <w:t xml:space="preserve"> Правительства предп</w:t>
      </w:r>
      <w:r w:rsidR="001C0E41">
        <w:t>о</w:t>
      </w:r>
      <w:r w:rsidR="001C0E41">
        <w:t>лагается постепенное смещение акцентов с мер социальной поддержки на модернизацию отеч</w:t>
      </w:r>
      <w:r w:rsidR="001C0E41">
        <w:t>е</w:t>
      </w:r>
      <w:r w:rsidR="001C0E41">
        <w:t>ственной экономики. К числу первоочередных задач относится сохранение и развитие промышле</w:t>
      </w:r>
      <w:r w:rsidR="001C0E41">
        <w:t>н</w:t>
      </w:r>
      <w:r w:rsidR="001C0E41">
        <w:t>ного и технологического потенциала для будущего роста.</w:t>
      </w:r>
    </w:p>
    <w:p w:rsidR="006773B9" w:rsidRPr="0051330B" w:rsidRDefault="001C0E41" w:rsidP="00285F57">
      <w:pPr>
        <w:jc w:val="both"/>
      </w:pPr>
      <w:r>
        <w:t xml:space="preserve">  </w:t>
      </w:r>
      <w:r>
        <w:tab/>
        <w:t>В 201</w:t>
      </w:r>
      <w:r w:rsidR="00404094">
        <w:t>1</w:t>
      </w:r>
      <w:r>
        <w:t xml:space="preserve"> году в стадии реализации находи</w:t>
      </w:r>
      <w:r w:rsidR="00404094">
        <w:t>тся</w:t>
      </w:r>
      <w:r>
        <w:t xml:space="preserve"> </w:t>
      </w:r>
      <w:r w:rsidR="0029140C">
        <w:t xml:space="preserve"> 12</w:t>
      </w:r>
      <w:r>
        <w:t xml:space="preserve"> инвестиционных проектов, в их числе строительство </w:t>
      </w:r>
      <w:r w:rsidR="00404094">
        <w:t>физ</w:t>
      </w:r>
      <w:r>
        <w:t xml:space="preserve">культурно-спортивного комплекса </w:t>
      </w:r>
      <w:r w:rsidR="00861554">
        <w:t xml:space="preserve"> в микрорайоне «Молодё</w:t>
      </w:r>
      <w:r w:rsidR="00861554">
        <w:t>ж</w:t>
      </w:r>
      <w:r w:rsidR="00861554">
        <w:t xml:space="preserve">ный», </w:t>
      </w:r>
      <w:r w:rsidR="00404094">
        <w:t>строительство сельскохозяйственной фермы, реконструкция базы отдыха «Приют охотн</w:t>
      </w:r>
      <w:r w:rsidR="00404094">
        <w:t>и</w:t>
      </w:r>
      <w:r w:rsidR="00404094">
        <w:t xml:space="preserve">ка», </w:t>
      </w:r>
      <w:r w:rsidR="0051330B" w:rsidRPr="0051330B">
        <w:t>производство по выпуску санитарно-гигиенической продукции</w:t>
      </w:r>
      <w:r w:rsidR="00AA3BE3">
        <w:t>, строительство торгово-офисного центра и др.</w:t>
      </w:r>
    </w:p>
    <w:p w:rsidR="00861554" w:rsidRDefault="00861554" w:rsidP="00285F57">
      <w:pPr>
        <w:jc w:val="both"/>
      </w:pPr>
      <w:r>
        <w:tab/>
        <w:t>В баз</w:t>
      </w:r>
      <w:r w:rsidR="000D2111">
        <w:t>е</w:t>
      </w:r>
      <w:r>
        <w:t xml:space="preserve"> данных области для поиска потенциальных инвесторов </w:t>
      </w:r>
      <w:r w:rsidR="000D2111">
        <w:t xml:space="preserve">размещены </w:t>
      </w:r>
      <w:r>
        <w:t>пакеты д</w:t>
      </w:r>
      <w:r>
        <w:t>о</w:t>
      </w:r>
      <w:r>
        <w:t xml:space="preserve">кументов по </w:t>
      </w:r>
      <w:r w:rsidR="001728BD">
        <w:t>1</w:t>
      </w:r>
      <w:r w:rsidR="0029140C">
        <w:t>8</w:t>
      </w:r>
      <w:r>
        <w:t xml:space="preserve"> свободным площадкам</w:t>
      </w:r>
      <w:r w:rsidR="003B1F3D">
        <w:t>.</w:t>
      </w:r>
    </w:p>
    <w:p w:rsidR="003D5742" w:rsidRDefault="003D5742" w:rsidP="00285F57">
      <w:pPr>
        <w:jc w:val="both"/>
      </w:pPr>
      <w:r>
        <w:tab/>
      </w:r>
    </w:p>
    <w:p w:rsidR="00900F39" w:rsidRDefault="003D5742" w:rsidP="00900F39">
      <w:pPr>
        <w:jc w:val="center"/>
        <w:rPr>
          <w:b/>
          <w:sz w:val="28"/>
          <w:szCs w:val="28"/>
        </w:rPr>
      </w:pPr>
      <w:r w:rsidRPr="00203CAA">
        <w:rPr>
          <w:b/>
          <w:sz w:val="28"/>
          <w:szCs w:val="28"/>
        </w:rPr>
        <w:t>ПРОМЫШЛЕННОСТЬ.</w:t>
      </w:r>
    </w:p>
    <w:p w:rsidR="00FD2CB3" w:rsidRPr="00203CAA" w:rsidRDefault="00FD2CB3" w:rsidP="00900F39">
      <w:pPr>
        <w:jc w:val="center"/>
        <w:rPr>
          <w:b/>
          <w:sz w:val="28"/>
          <w:szCs w:val="28"/>
        </w:rPr>
      </w:pPr>
    </w:p>
    <w:p w:rsidR="0035330F" w:rsidRDefault="0035330F" w:rsidP="0035330F">
      <w:pPr>
        <w:jc w:val="both"/>
      </w:pPr>
      <w:r>
        <w:t xml:space="preserve">           </w:t>
      </w:r>
      <w:r w:rsidRPr="003D5742">
        <w:t xml:space="preserve">Объём </w:t>
      </w:r>
      <w:r>
        <w:t>отгруженных товаров собственного производства, выполненных работ и услуг по фактическим видам экономической деятельности  ( без субъектов малого пре</w:t>
      </w:r>
      <w:r>
        <w:t>д</w:t>
      </w:r>
      <w:r>
        <w:t xml:space="preserve">принимательства) за </w:t>
      </w:r>
      <w:r w:rsidR="00016862">
        <w:t>2011 год</w:t>
      </w:r>
      <w:r>
        <w:t xml:space="preserve"> составил  </w:t>
      </w:r>
      <w:r w:rsidR="00842C3C">
        <w:t>1</w:t>
      </w:r>
      <w:r w:rsidR="00016862">
        <w:t>64,9</w:t>
      </w:r>
      <w:r>
        <w:t xml:space="preserve"> млн.руб. или  1</w:t>
      </w:r>
      <w:r w:rsidR="00016862">
        <w:t>25,1</w:t>
      </w:r>
      <w:r>
        <w:t xml:space="preserve"> % к уровню 2010 г</w:t>
      </w:r>
      <w:r>
        <w:t>о</w:t>
      </w:r>
      <w:r>
        <w:t>да (по области 1</w:t>
      </w:r>
      <w:r w:rsidR="00016862">
        <w:t>19,5</w:t>
      </w:r>
      <w:r>
        <w:t xml:space="preserve"> %)</w:t>
      </w:r>
    </w:p>
    <w:p w:rsidR="0035330F" w:rsidRDefault="0035330F" w:rsidP="0035330F">
      <w:pPr>
        <w:jc w:val="both"/>
      </w:pPr>
    </w:p>
    <w:p w:rsidR="00900F39" w:rsidRPr="00401DE0" w:rsidRDefault="00900F39" w:rsidP="00900F39">
      <w:pPr>
        <w:jc w:val="center"/>
        <w:rPr>
          <w:b/>
          <w:sz w:val="28"/>
          <w:szCs w:val="28"/>
        </w:rPr>
      </w:pPr>
      <w:r w:rsidRPr="00401DE0">
        <w:rPr>
          <w:b/>
          <w:sz w:val="28"/>
          <w:szCs w:val="28"/>
        </w:rPr>
        <w:t>Динамика промышленного производства</w:t>
      </w:r>
    </w:p>
    <w:p w:rsidR="001C4ACC" w:rsidRDefault="00F24626" w:rsidP="00900F39">
      <w:pPr>
        <w:jc w:val="both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078855" cy="4258945"/>
            <wp:effectExtent l="0" t="0" r="0" b="0"/>
            <wp:docPr id="4" name="Объект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5132E1" w:rsidRDefault="005132E1" w:rsidP="00900F39">
      <w:pPr>
        <w:jc w:val="both"/>
        <w:rPr>
          <w:sz w:val="28"/>
          <w:szCs w:val="28"/>
        </w:rPr>
      </w:pPr>
    </w:p>
    <w:p w:rsidR="005132E1" w:rsidRDefault="005132E1" w:rsidP="00900F39">
      <w:pPr>
        <w:jc w:val="both"/>
        <w:rPr>
          <w:sz w:val="28"/>
          <w:szCs w:val="28"/>
        </w:rPr>
      </w:pPr>
    </w:p>
    <w:p w:rsidR="005132E1" w:rsidRDefault="005132E1" w:rsidP="005132E1">
      <w:pPr>
        <w:jc w:val="both"/>
      </w:pPr>
      <w:r>
        <w:t>Объём отгруженных товаров по крупным и средним предприятиям.</w:t>
      </w:r>
    </w:p>
    <w:p w:rsidR="005132E1" w:rsidRPr="003D5742" w:rsidRDefault="005132E1" w:rsidP="005132E1">
      <w:pPr>
        <w:jc w:val="both"/>
      </w:pPr>
      <w:r>
        <w:t xml:space="preserve">                                                                                                  тыс.руб.</w:t>
      </w:r>
    </w:p>
    <w:tbl>
      <w:tblPr>
        <w:tblStyle w:val="a3"/>
        <w:tblW w:w="8208" w:type="dxa"/>
        <w:tblLook w:val="01E0" w:firstRow="1" w:lastRow="1" w:firstColumn="1" w:lastColumn="1" w:noHBand="0" w:noVBand="0"/>
      </w:tblPr>
      <w:tblGrid>
        <w:gridCol w:w="4248"/>
        <w:gridCol w:w="1080"/>
        <w:gridCol w:w="1080"/>
        <w:gridCol w:w="1800"/>
      </w:tblGrid>
      <w:tr w:rsidR="005132E1" w:rsidTr="005D4CE6">
        <w:tc>
          <w:tcPr>
            <w:tcW w:w="4248" w:type="dxa"/>
          </w:tcPr>
          <w:p w:rsidR="005132E1" w:rsidRDefault="005132E1" w:rsidP="005D4CE6">
            <w:pPr>
              <w:jc w:val="both"/>
            </w:pPr>
            <w:r>
              <w:t>Наименование предпр</w:t>
            </w:r>
            <w:r>
              <w:t>и</w:t>
            </w:r>
            <w:r>
              <w:t>ятия</w:t>
            </w:r>
          </w:p>
        </w:tc>
        <w:tc>
          <w:tcPr>
            <w:tcW w:w="1080" w:type="dxa"/>
          </w:tcPr>
          <w:p w:rsidR="005132E1" w:rsidRDefault="005132E1" w:rsidP="005D4CE6">
            <w:pPr>
              <w:jc w:val="both"/>
            </w:pPr>
            <w:r>
              <w:t>2011 год</w:t>
            </w:r>
          </w:p>
        </w:tc>
        <w:tc>
          <w:tcPr>
            <w:tcW w:w="1080" w:type="dxa"/>
          </w:tcPr>
          <w:p w:rsidR="005132E1" w:rsidRDefault="005132E1" w:rsidP="005D4CE6">
            <w:pPr>
              <w:jc w:val="both"/>
            </w:pPr>
            <w:r>
              <w:t>2010 год</w:t>
            </w:r>
          </w:p>
        </w:tc>
        <w:tc>
          <w:tcPr>
            <w:tcW w:w="1800" w:type="dxa"/>
          </w:tcPr>
          <w:p w:rsidR="005132E1" w:rsidRDefault="005132E1" w:rsidP="005D4CE6">
            <w:pPr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в % к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5132E1" w:rsidTr="005D4CE6">
        <w:tc>
          <w:tcPr>
            <w:tcW w:w="4248" w:type="dxa"/>
          </w:tcPr>
          <w:p w:rsidR="005132E1" w:rsidRPr="005B16D4" w:rsidRDefault="005132E1" w:rsidP="005D4CE6">
            <w:pPr>
              <w:pStyle w:val="a9"/>
              <w:spacing w:before="120"/>
              <w:ind w:firstLine="0"/>
              <w:jc w:val="both"/>
              <w:rPr>
                <w:sz w:val="24"/>
                <w:szCs w:val="24"/>
              </w:rPr>
            </w:pPr>
            <w:r w:rsidRPr="005B16D4">
              <w:rPr>
                <w:sz w:val="24"/>
                <w:szCs w:val="24"/>
              </w:rPr>
              <w:t>ЗАО «Завод  Юп</w:t>
            </w:r>
            <w:r w:rsidRPr="005B16D4">
              <w:rPr>
                <w:sz w:val="24"/>
                <w:szCs w:val="24"/>
              </w:rPr>
              <w:t>и</w:t>
            </w:r>
            <w:r w:rsidRPr="005B16D4">
              <w:rPr>
                <w:sz w:val="24"/>
                <w:szCs w:val="24"/>
              </w:rPr>
              <w:t>тер»</w:t>
            </w:r>
          </w:p>
        </w:tc>
        <w:tc>
          <w:tcPr>
            <w:tcW w:w="1080" w:type="dxa"/>
          </w:tcPr>
          <w:p w:rsidR="005132E1" w:rsidRDefault="005132E1" w:rsidP="005D4CE6">
            <w:pPr>
              <w:jc w:val="center"/>
            </w:pPr>
            <w:r>
              <w:t>63156</w:t>
            </w:r>
          </w:p>
        </w:tc>
        <w:tc>
          <w:tcPr>
            <w:tcW w:w="1080" w:type="dxa"/>
          </w:tcPr>
          <w:p w:rsidR="005132E1" w:rsidRDefault="005132E1" w:rsidP="005D4CE6">
            <w:pPr>
              <w:jc w:val="center"/>
            </w:pPr>
            <w:r>
              <w:t>42290</w:t>
            </w:r>
          </w:p>
        </w:tc>
        <w:tc>
          <w:tcPr>
            <w:tcW w:w="1800" w:type="dxa"/>
          </w:tcPr>
          <w:p w:rsidR="005132E1" w:rsidRDefault="005132E1" w:rsidP="005D4CE6">
            <w:pPr>
              <w:jc w:val="center"/>
            </w:pPr>
            <w:r>
              <w:t>149,3</w:t>
            </w:r>
          </w:p>
        </w:tc>
      </w:tr>
      <w:tr w:rsidR="005132E1" w:rsidTr="005D4CE6">
        <w:tc>
          <w:tcPr>
            <w:tcW w:w="4248" w:type="dxa"/>
          </w:tcPr>
          <w:p w:rsidR="005132E1" w:rsidRPr="00D00450" w:rsidRDefault="005132E1" w:rsidP="005D4CE6">
            <w:pPr>
              <w:pStyle w:val="a9"/>
              <w:spacing w:before="120"/>
              <w:ind w:firstLine="0"/>
              <w:jc w:val="both"/>
              <w:rPr>
                <w:sz w:val="24"/>
                <w:szCs w:val="24"/>
              </w:rPr>
            </w:pPr>
            <w:r w:rsidRPr="00D00450">
              <w:rPr>
                <w:sz w:val="24"/>
                <w:szCs w:val="24"/>
              </w:rPr>
              <w:t>Ф</w:t>
            </w:r>
            <w:r>
              <w:rPr>
                <w:sz w:val="24"/>
                <w:szCs w:val="24"/>
              </w:rPr>
              <w:t>К</w:t>
            </w:r>
            <w:r w:rsidRPr="00D00450">
              <w:rPr>
                <w:sz w:val="24"/>
                <w:szCs w:val="24"/>
              </w:rPr>
              <w:t>У ИК-4</w:t>
            </w:r>
          </w:p>
        </w:tc>
        <w:tc>
          <w:tcPr>
            <w:tcW w:w="1080" w:type="dxa"/>
          </w:tcPr>
          <w:p w:rsidR="005132E1" w:rsidRDefault="005132E1" w:rsidP="005D4CE6">
            <w:pPr>
              <w:jc w:val="center"/>
            </w:pPr>
            <w:r>
              <w:t>34742</w:t>
            </w:r>
          </w:p>
        </w:tc>
        <w:tc>
          <w:tcPr>
            <w:tcW w:w="1080" w:type="dxa"/>
          </w:tcPr>
          <w:p w:rsidR="005132E1" w:rsidRDefault="005132E1" w:rsidP="005D4CE6">
            <w:pPr>
              <w:jc w:val="center"/>
            </w:pPr>
            <w:r>
              <w:t>38350</w:t>
            </w:r>
          </w:p>
        </w:tc>
        <w:tc>
          <w:tcPr>
            <w:tcW w:w="1800" w:type="dxa"/>
          </w:tcPr>
          <w:p w:rsidR="005132E1" w:rsidRDefault="005132E1" w:rsidP="005D4CE6">
            <w:pPr>
              <w:jc w:val="center"/>
            </w:pPr>
            <w:r>
              <w:t>90,6</w:t>
            </w:r>
          </w:p>
        </w:tc>
      </w:tr>
      <w:tr w:rsidR="005132E1" w:rsidTr="005D4CE6">
        <w:tc>
          <w:tcPr>
            <w:tcW w:w="4248" w:type="dxa"/>
          </w:tcPr>
          <w:p w:rsidR="005132E1" w:rsidRPr="00D00450" w:rsidRDefault="005132E1" w:rsidP="005D4CE6">
            <w:pPr>
              <w:pStyle w:val="a9"/>
              <w:spacing w:before="120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«Валдайлесстрой»</w:t>
            </w:r>
          </w:p>
        </w:tc>
        <w:tc>
          <w:tcPr>
            <w:tcW w:w="1080" w:type="dxa"/>
          </w:tcPr>
          <w:p w:rsidR="005132E1" w:rsidRDefault="005132E1" w:rsidP="005D4CE6">
            <w:pPr>
              <w:jc w:val="center"/>
            </w:pPr>
            <w:r>
              <w:t>15722</w:t>
            </w:r>
          </w:p>
        </w:tc>
        <w:tc>
          <w:tcPr>
            <w:tcW w:w="1080" w:type="dxa"/>
          </w:tcPr>
          <w:p w:rsidR="005132E1" w:rsidRDefault="005132E1" w:rsidP="005D4CE6">
            <w:pPr>
              <w:jc w:val="center"/>
            </w:pPr>
            <w:r>
              <w:t>7361</w:t>
            </w:r>
          </w:p>
        </w:tc>
        <w:tc>
          <w:tcPr>
            <w:tcW w:w="1800" w:type="dxa"/>
          </w:tcPr>
          <w:p w:rsidR="005132E1" w:rsidRDefault="005132E1" w:rsidP="005D4CE6">
            <w:pPr>
              <w:jc w:val="center"/>
            </w:pPr>
            <w:r>
              <w:t>213,6</w:t>
            </w:r>
          </w:p>
        </w:tc>
      </w:tr>
    </w:tbl>
    <w:p w:rsidR="005132E1" w:rsidRDefault="005132E1" w:rsidP="005132E1">
      <w:pPr>
        <w:jc w:val="both"/>
      </w:pPr>
      <w:r>
        <w:t xml:space="preserve"> </w:t>
      </w:r>
    </w:p>
    <w:p w:rsidR="005132E1" w:rsidRDefault="005132E1" w:rsidP="00900F39">
      <w:pPr>
        <w:jc w:val="both"/>
        <w:rPr>
          <w:b/>
        </w:rPr>
      </w:pPr>
    </w:p>
    <w:p w:rsidR="00C623D6" w:rsidRDefault="004B234B" w:rsidP="00285F57">
      <w:pPr>
        <w:jc w:val="both"/>
      </w:pPr>
      <w:r>
        <w:t xml:space="preserve">          </w:t>
      </w:r>
      <w:r w:rsidR="00393E65">
        <w:t>В</w:t>
      </w:r>
      <w:r w:rsidR="00393E65">
        <w:rPr>
          <w:sz w:val="28"/>
          <w:szCs w:val="28"/>
        </w:rPr>
        <w:t xml:space="preserve"> </w:t>
      </w:r>
      <w:r w:rsidR="00393E65" w:rsidRPr="00393E65">
        <w:t>промышленном производстве</w:t>
      </w:r>
      <w:r w:rsidR="00393E65">
        <w:t xml:space="preserve"> </w:t>
      </w:r>
      <w:r w:rsidR="00BC1ED6">
        <w:t>объём</w:t>
      </w:r>
      <w:r w:rsidR="00393E65" w:rsidRPr="00393E65">
        <w:t xml:space="preserve"> реализации продукции </w:t>
      </w:r>
      <w:r w:rsidR="00BC1ED6">
        <w:t>завода «Юпитер»</w:t>
      </w:r>
      <w:r w:rsidR="00393E65" w:rsidRPr="00393E65">
        <w:t xml:space="preserve"> </w:t>
      </w:r>
      <w:r w:rsidR="00BC1ED6">
        <w:t>с</w:t>
      </w:r>
      <w:r w:rsidR="00393E65" w:rsidRPr="00393E65">
        <w:t>о</w:t>
      </w:r>
      <w:r w:rsidR="00393E65" w:rsidRPr="00393E65">
        <w:t xml:space="preserve">ставил </w:t>
      </w:r>
      <w:r w:rsidR="00EF4AC9">
        <w:t xml:space="preserve">за </w:t>
      </w:r>
      <w:r w:rsidR="00BC1ED6">
        <w:t>12</w:t>
      </w:r>
      <w:r w:rsidR="00EF4AC9">
        <w:t xml:space="preserve"> месяцев</w:t>
      </w:r>
      <w:r w:rsidR="003C53DD">
        <w:t xml:space="preserve"> т.г.</w:t>
      </w:r>
      <w:r w:rsidR="0045488E">
        <w:t xml:space="preserve">  </w:t>
      </w:r>
      <w:r w:rsidR="00BC1ED6">
        <w:t>63,2</w:t>
      </w:r>
      <w:r w:rsidR="00393E65" w:rsidRPr="00393E65">
        <w:t xml:space="preserve"> </w:t>
      </w:r>
      <w:r w:rsidR="0045488E">
        <w:t xml:space="preserve">млн. </w:t>
      </w:r>
      <w:r w:rsidR="00393E65" w:rsidRPr="00393E65">
        <w:t>рублей</w:t>
      </w:r>
      <w:r w:rsidR="00A0030A">
        <w:t xml:space="preserve"> (</w:t>
      </w:r>
      <w:r w:rsidR="00BC1ED6">
        <w:t>149,3</w:t>
      </w:r>
      <w:r w:rsidR="002A05D9">
        <w:t xml:space="preserve"> </w:t>
      </w:r>
      <w:r w:rsidR="00393E65">
        <w:t xml:space="preserve">% </w:t>
      </w:r>
      <w:r w:rsidR="00393E65" w:rsidRPr="00393E65">
        <w:t xml:space="preserve"> к уровню 20</w:t>
      </w:r>
      <w:r w:rsidR="00393E65">
        <w:t>1</w:t>
      </w:r>
      <w:r w:rsidR="00A0030A">
        <w:t>0 года).</w:t>
      </w:r>
      <w:r w:rsidR="00393E65" w:rsidRPr="00393E65">
        <w:t xml:space="preserve"> </w:t>
      </w:r>
      <w:r w:rsidR="00F16B78">
        <w:t>З</w:t>
      </w:r>
      <w:r w:rsidR="00393E65" w:rsidRPr="00393E65">
        <w:t xml:space="preserve">авод утратил рынок западных стран на </w:t>
      </w:r>
      <w:r w:rsidR="00A0030A">
        <w:t xml:space="preserve"> </w:t>
      </w:r>
      <w:r w:rsidR="00393E65" w:rsidRPr="00393E65">
        <w:t>поставку</w:t>
      </w:r>
      <w:r w:rsidR="00F16B78">
        <w:t xml:space="preserve"> оптических приборов</w:t>
      </w:r>
      <w:r w:rsidR="00C623D6">
        <w:t xml:space="preserve"> в связи </w:t>
      </w:r>
      <w:r w:rsidR="00393E65" w:rsidRPr="00393E65">
        <w:t xml:space="preserve"> с повышением себест</w:t>
      </w:r>
      <w:r w:rsidR="00393E65" w:rsidRPr="00393E65">
        <w:t>о</w:t>
      </w:r>
      <w:r w:rsidR="00393E65" w:rsidRPr="00393E65">
        <w:t>имости изготовления изделий.</w:t>
      </w:r>
      <w:r w:rsidR="00FE1EF0">
        <w:t xml:space="preserve"> На экспорт отправлено </w:t>
      </w:r>
      <w:r w:rsidR="00EF4AC9">
        <w:t>1</w:t>
      </w:r>
      <w:r w:rsidR="002A504A">
        <w:t>6,7</w:t>
      </w:r>
      <w:r w:rsidR="00FE1EF0">
        <w:t xml:space="preserve"> млн.руб. продукции, что с</w:t>
      </w:r>
      <w:r w:rsidR="00FE1EF0">
        <w:t>о</w:t>
      </w:r>
      <w:r w:rsidR="00FE1EF0">
        <w:t xml:space="preserve">ставляет </w:t>
      </w:r>
      <w:r w:rsidR="002A504A">
        <w:t>64,5</w:t>
      </w:r>
      <w:r w:rsidR="00FE1EF0">
        <w:t xml:space="preserve"> % к уровню  прошлого года.</w:t>
      </w:r>
      <w:r w:rsidR="008310D7">
        <w:t xml:space="preserve"> </w:t>
      </w:r>
      <w:r w:rsidR="00393E65" w:rsidRPr="00C27264">
        <w:t>Переход экспортно-ориентированного пре</w:t>
      </w:r>
      <w:r w:rsidR="00393E65" w:rsidRPr="00C27264">
        <w:t>д</w:t>
      </w:r>
      <w:r w:rsidR="00393E65" w:rsidRPr="00C27264">
        <w:t>приятия по поставкам продукции на внутренний рынок позвол</w:t>
      </w:r>
      <w:r w:rsidR="00C623D6">
        <w:t>ил</w:t>
      </w:r>
      <w:r w:rsidR="00393E65" w:rsidRPr="00C27264">
        <w:t xml:space="preserve"> сохранить производс</w:t>
      </w:r>
      <w:r w:rsidR="00393E65" w:rsidRPr="00C27264">
        <w:t>т</w:t>
      </w:r>
      <w:r w:rsidR="00393E65" w:rsidRPr="00C27264">
        <w:t xml:space="preserve">во и кадровый потенциал </w:t>
      </w:r>
      <w:r w:rsidR="008310D7">
        <w:t>завода</w:t>
      </w:r>
      <w:r w:rsidR="00393E65" w:rsidRPr="00C27264">
        <w:t xml:space="preserve">. </w:t>
      </w:r>
      <w:r w:rsidR="00F16B78">
        <w:t xml:space="preserve">В 2011 году выпуск оптических приборов составил 47,5 млн.руб. (173,5%) </w:t>
      </w:r>
      <w:r w:rsidR="000D2111" w:rsidRPr="00C27264">
        <w:t>Совместно с К</w:t>
      </w:r>
      <w:r w:rsidR="002950A5" w:rsidRPr="00C27264">
        <w:t>урским институтом с</w:t>
      </w:r>
      <w:r w:rsidR="00393E65" w:rsidRPr="00C27264">
        <w:t>пециалисты завода разработали  прицельно-наблюдательный комплекс, предназначенный для ведения разведки, обнар</w:t>
      </w:r>
      <w:r w:rsidR="00393E65" w:rsidRPr="00C27264">
        <w:t>у</w:t>
      </w:r>
      <w:r w:rsidR="00393E65" w:rsidRPr="00C27264">
        <w:t>жения и поражения  целей из инди</w:t>
      </w:r>
      <w:r w:rsidR="00FD2CB3">
        <w:t>видуального стрелкового оружия.</w:t>
      </w:r>
      <w:r w:rsidR="00C27264" w:rsidRPr="00C27264">
        <w:t xml:space="preserve">  В </w:t>
      </w:r>
      <w:r w:rsidR="004F3E37">
        <w:t xml:space="preserve">3 квартале т.г. </w:t>
      </w:r>
      <w:r w:rsidR="00C27264" w:rsidRPr="00C27264">
        <w:t>з</w:t>
      </w:r>
      <w:r w:rsidR="00C27264" w:rsidRPr="00C27264">
        <w:t>а</w:t>
      </w:r>
      <w:r w:rsidR="00C27264" w:rsidRPr="00C27264">
        <w:t>вод</w:t>
      </w:r>
      <w:r w:rsidR="001F18D8">
        <w:t xml:space="preserve"> «Юпитер»</w:t>
      </w:r>
      <w:r w:rsidR="00C27264" w:rsidRPr="00C27264">
        <w:t xml:space="preserve"> </w:t>
      </w:r>
      <w:r w:rsidR="004F3E37">
        <w:t xml:space="preserve">стал победителем </w:t>
      </w:r>
      <w:r w:rsidR="00C27264" w:rsidRPr="00C27264">
        <w:t xml:space="preserve"> тендер</w:t>
      </w:r>
      <w:r w:rsidR="004F3E37">
        <w:t>а</w:t>
      </w:r>
      <w:r w:rsidR="00C27264" w:rsidRPr="00C27264">
        <w:t xml:space="preserve"> и подписал два договора с Федеральной слу</w:t>
      </w:r>
      <w:r w:rsidR="00C27264" w:rsidRPr="00C27264">
        <w:t>ж</w:t>
      </w:r>
      <w:r w:rsidR="00C27264" w:rsidRPr="00C27264">
        <w:t>бой исполнения наказаний и Федеральной службой охраны</w:t>
      </w:r>
      <w:r w:rsidR="002950A5" w:rsidRPr="00C27264">
        <w:t>,</w:t>
      </w:r>
      <w:r w:rsidR="00C27264" w:rsidRPr="00C27264">
        <w:t xml:space="preserve"> что позволи</w:t>
      </w:r>
      <w:r w:rsidR="00FD2CB3">
        <w:t>ло</w:t>
      </w:r>
      <w:r w:rsidR="00C27264" w:rsidRPr="00C27264">
        <w:t xml:space="preserve"> </w:t>
      </w:r>
      <w:r w:rsidR="002950A5" w:rsidRPr="00C27264">
        <w:t xml:space="preserve"> предпр</w:t>
      </w:r>
      <w:r w:rsidR="002950A5" w:rsidRPr="00C27264">
        <w:t>и</w:t>
      </w:r>
      <w:r w:rsidR="00C27264" w:rsidRPr="00C27264">
        <w:t>ятию</w:t>
      </w:r>
      <w:r w:rsidR="002950A5" w:rsidRPr="00C27264">
        <w:t xml:space="preserve"> </w:t>
      </w:r>
      <w:r w:rsidR="00C27264" w:rsidRPr="00C27264">
        <w:t>осуществлять</w:t>
      </w:r>
      <w:r w:rsidR="002950A5" w:rsidRPr="00C27264">
        <w:t xml:space="preserve"> выпуск продукции, тем самым </w:t>
      </w:r>
      <w:r w:rsidR="00393E65" w:rsidRPr="00C27264">
        <w:t>увеличи</w:t>
      </w:r>
      <w:r w:rsidR="00FD2CB3">
        <w:t>ть</w:t>
      </w:r>
      <w:r w:rsidR="00393E65" w:rsidRPr="00C27264">
        <w:t xml:space="preserve"> объем</w:t>
      </w:r>
      <w:r w:rsidR="002950A5" w:rsidRPr="00C27264">
        <w:t xml:space="preserve">ы производства </w:t>
      </w:r>
      <w:r w:rsidR="00A0030A" w:rsidRPr="00C27264">
        <w:t>и</w:t>
      </w:r>
      <w:r w:rsidR="00393E65" w:rsidRPr="00C27264">
        <w:t xml:space="preserve"> </w:t>
      </w:r>
      <w:r w:rsidR="002950A5" w:rsidRPr="00C27264">
        <w:t xml:space="preserve"> </w:t>
      </w:r>
      <w:r w:rsidR="00393E65" w:rsidRPr="00C27264">
        <w:t>обесп</w:t>
      </w:r>
      <w:r w:rsidR="00393E65" w:rsidRPr="00C27264">
        <w:t>е</w:t>
      </w:r>
      <w:r w:rsidR="00393E65" w:rsidRPr="00C27264">
        <w:t>ч</w:t>
      </w:r>
      <w:r w:rsidR="00C27264" w:rsidRPr="00C27264">
        <w:t>и</w:t>
      </w:r>
      <w:r w:rsidR="00FD2CB3">
        <w:t>ть</w:t>
      </w:r>
      <w:r w:rsidR="00393E65" w:rsidRPr="00C27264">
        <w:t xml:space="preserve"> рост заработной пл</w:t>
      </w:r>
      <w:r w:rsidR="00393E65" w:rsidRPr="00C27264">
        <w:t>а</w:t>
      </w:r>
      <w:r w:rsidR="00393E65" w:rsidRPr="00C27264">
        <w:t>ты</w:t>
      </w:r>
      <w:r w:rsidR="002C04DE" w:rsidRPr="00C27264">
        <w:t>.</w:t>
      </w:r>
    </w:p>
    <w:p w:rsidR="00393E65" w:rsidRPr="00047F0F" w:rsidRDefault="00C623D6" w:rsidP="00285F57">
      <w:pPr>
        <w:jc w:val="both"/>
        <w:rPr>
          <w:i/>
        </w:rPr>
      </w:pPr>
      <w:r>
        <w:tab/>
      </w:r>
      <w:r w:rsidR="003C53DD" w:rsidRPr="00C27264">
        <w:t xml:space="preserve"> </w:t>
      </w:r>
      <w:r w:rsidR="00393E65" w:rsidRPr="00C27264">
        <w:t>В  целях сохранения производственных мощностей, часть помещений завода пер</w:t>
      </w:r>
      <w:r w:rsidR="00393E65" w:rsidRPr="00C27264">
        <w:t>е</w:t>
      </w:r>
      <w:r w:rsidR="00393E65" w:rsidRPr="00C27264">
        <w:t xml:space="preserve">дана в аренду предприятию «Профбумага» </w:t>
      </w:r>
      <w:r w:rsidR="008310D7">
        <w:t>где</w:t>
      </w:r>
      <w:r w:rsidR="00393E65" w:rsidRPr="00C27264">
        <w:t xml:space="preserve"> работает производство по выпуску сан</w:t>
      </w:r>
      <w:r w:rsidR="00393E65" w:rsidRPr="00C27264">
        <w:t>и</w:t>
      </w:r>
      <w:r w:rsidR="00393E65" w:rsidRPr="00C27264">
        <w:t xml:space="preserve">тарно-гигиенической продукции с организацией </w:t>
      </w:r>
      <w:r w:rsidR="00360BF3" w:rsidRPr="00C27264">
        <w:t>56</w:t>
      </w:r>
      <w:r w:rsidR="00393E65" w:rsidRPr="00C27264">
        <w:t xml:space="preserve"> рабочих мест.</w:t>
      </w:r>
      <w:r w:rsidR="00A0030A" w:rsidRPr="00C27264">
        <w:t xml:space="preserve"> </w:t>
      </w:r>
      <w:r w:rsidR="00C27264" w:rsidRPr="00047F0F">
        <w:rPr>
          <w:i/>
        </w:rPr>
        <w:t>Э</w:t>
      </w:r>
      <w:r w:rsidR="00393E65" w:rsidRPr="00047F0F">
        <w:rPr>
          <w:i/>
        </w:rPr>
        <w:t xml:space="preserve">тому предприятию передано дополнительно в аренду 1,5 тыс.кв.м. производственных площадей, где </w:t>
      </w:r>
      <w:r w:rsidR="002950A5" w:rsidRPr="00047F0F">
        <w:rPr>
          <w:i/>
        </w:rPr>
        <w:t>допо</w:t>
      </w:r>
      <w:r w:rsidR="002950A5" w:rsidRPr="00047F0F">
        <w:rPr>
          <w:i/>
        </w:rPr>
        <w:t>л</w:t>
      </w:r>
      <w:r w:rsidR="002950A5" w:rsidRPr="00047F0F">
        <w:rPr>
          <w:i/>
        </w:rPr>
        <w:t>нительно</w:t>
      </w:r>
      <w:r w:rsidR="00393E65" w:rsidRPr="00047F0F">
        <w:rPr>
          <w:i/>
        </w:rPr>
        <w:t xml:space="preserve"> будет установлена бумагоделательная машина по переработке целлюлозы и макулатуры</w:t>
      </w:r>
      <w:r w:rsidR="000D051B" w:rsidRPr="00047F0F">
        <w:rPr>
          <w:i/>
        </w:rPr>
        <w:t xml:space="preserve">. В настоящее время идет монтаж оборудования </w:t>
      </w:r>
      <w:r w:rsidR="00393E65" w:rsidRPr="00047F0F">
        <w:rPr>
          <w:i/>
        </w:rPr>
        <w:t xml:space="preserve"> и </w:t>
      </w:r>
      <w:r w:rsidR="000D051B" w:rsidRPr="00047F0F">
        <w:rPr>
          <w:i/>
        </w:rPr>
        <w:t xml:space="preserve">в 2012 </w:t>
      </w:r>
      <w:r w:rsidR="00393E65" w:rsidRPr="00047F0F">
        <w:rPr>
          <w:i/>
        </w:rPr>
        <w:t xml:space="preserve"> год</w:t>
      </w:r>
      <w:r w:rsidR="000D051B" w:rsidRPr="00047F0F">
        <w:rPr>
          <w:i/>
        </w:rPr>
        <w:t>у</w:t>
      </w:r>
      <w:r w:rsidR="00393E65" w:rsidRPr="00047F0F">
        <w:rPr>
          <w:i/>
        </w:rPr>
        <w:t xml:space="preserve"> буд</w:t>
      </w:r>
      <w:r w:rsidR="00A0030A" w:rsidRPr="00047F0F">
        <w:rPr>
          <w:i/>
        </w:rPr>
        <w:t>ут</w:t>
      </w:r>
      <w:r w:rsidR="00393E65" w:rsidRPr="00047F0F">
        <w:rPr>
          <w:i/>
        </w:rPr>
        <w:t xml:space="preserve"> созд</w:t>
      </w:r>
      <w:r w:rsidR="00393E65" w:rsidRPr="00047F0F">
        <w:rPr>
          <w:i/>
        </w:rPr>
        <w:t>а</w:t>
      </w:r>
      <w:r w:rsidR="00393E65" w:rsidRPr="00047F0F">
        <w:rPr>
          <w:i/>
        </w:rPr>
        <w:t>н</w:t>
      </w:r>
      <w:r w:rsidR="00A0030A" w:rsidRPr="00047F0F">
        <w:rPr>
          <w:i/>
        </w:rPr>
        <w:t>ы</w:t>
      </w:r>
      <w:r w:rsidR="00393E65" w:rsidRPr="00047F0F">
        <w:rPr>
          <w:i/>
        </w:rPr>
        <w:t xml:space="preserve"> д</w:t>
      </w:r>
      <w:r w:rsidR="00393E65" w:rsidRPr="00047F0F">
        <w:rPr>
          <w:i/>
        </w:rPr>
        <w:t>о</w:t>
      </w:r>
      <w:r w:rsidR="00393E65" w:rsidRPr="00047F0F">
        <w:rPr>
          <w:i/>
        </w:rPr>
        <w:t>полнительн</w:t>
      </w:r>
      <w:r w:rsidR="00A0030A" w:rsidRPr="00047F0F">
        <w:rPr>
          <w:i/>
        </w:rPr>
        <w:t xml:space="preserve">ые </w:t>
      </w:r>
      <w:r w:rsidR="00393E65" w:rsidRPr="00047F0F">
        <w:rPr>
          <w:i/>
        </w:rPr>
        <w:t>рабочи</w:t>
      </w:r>
      <w:r w:rsidR="00A0030A" w:rsidRPr="00047F0F">
        <w:rPr>
          <w:i/>
        </w:rPr>
        <w:t>е</w:t>
      </w:r>
      <w:r w:rsidR="00393E65" w:rsidRPr="00047F0F">
        <w:rPr>
          <w:i/>
        </w:rPr>
        <w:t xml:space="preserve"> мест</w:t>
      </w:r>
      <w:r w:rsidR="00A0030A" w:rsidRPr="00047F0F">
        <w:rPr>
          <w:i/>
        </w:rPr>
        <w:t>а</w:t>
      </w:r>
      <w:r w:rsidR="00393E65" w:rsidRPr="00047F0F">
        <w:rPr>
          <w:i/>
        </w:rPr>
        <w:t>.</w:t>
      </w:r>
    </w:p>
    <w:p w:rsidR="0069466F" w:rsidRDefault="00393E65" w:rsidP="00285F57">
      <w:pPr>
        <w:jc w:val="both"/>
      </w:pPr>
      <w:r w:rsidRPr="00A0030A">
        <w:t xml:space="preserve">              На протяжении последних лет Ф</w:t>
      </w:r>
      <w:r w:rsidR="006C3F84">
        <w:t>К</w:t>
      </w:r>
      <w:r w:rsidRPr="00A0030A">
        <w:t>У ИК-4</w:t>
      </w:r>
      <w:r w:rsidR="006C3F84">
        <w:t xml:space="preserve"> наращивало </w:t>
      </w:r>
      <w:r w:rsidR="001D1996">
        <w:t>выпуск продукции</w:t>
      </w:r>
      <w:r w:rsidR="00C623D6">
        <w:t>.</w:t>
      </w:r>
      <w:r w:rsidRPr="00A0030A">
        <w:t xml:space="preserve"> </w:t>
      </w:r>
      <w:r w:rsidR="006C3F84">
        <w:t xml:space="preserve">Но в </w:t>
      </w:r>
      <w:r w:rsidRPr="00A0030A">
        <w:t>201</w:t>
      </w:r>
      <w:r w:rsidR="00A0030A">
        <w:t>1</w:t>
      </w:r>
      <w:r w:rsidRPr="00A0030A">
        <w:t xml:space="preserve"> год</w:t>
      </w:r>
      <w:r w:rsidR="006C3F84">
        <w:t xml:space="preserve">у произошло снижение </w:t>
      </w:r>
      <w:r w:rsidRPr="00A0030A">
        <w:t xml:space="preserve"> объем</w:t>
      </w:r>
      <w:r w:rsidR="006C3F84">
        <w:t>ов</w:t>
      </w:r>
      <w:r w:rsidRPr="00A0030A">
        <w:t xml:space="preserve"> отгруженных товаров</w:t>
      </w:r>
      <w:r w:rsidR="00FF5B58">
        <w:t xml:space="preserve"> </w:t>
      </w:r>
      <w:r w:rsidR="004D4C3A">
        <w:t>-</w:t>
      </w:r>
      <w:r w:rsidR="001D1996">
        <w:t xml:space="preserve"> </w:t>
      </w:r>
      <w:r w:rsidR="002A504A">
        <w:t>34,7</w:t>
      </w:r>
      <w:r w:rsidR="00A0030A">
        <w:t xml:space="preserve"> млн.руб.</w:t>
      </w:r>
      <w:r w:rsidRPr="00A0030A">
        <w:t xml:space="preserve"> </w:t>
      </w:r>
      <w:r w:rsidR="004D4C3A">
        <w:t xml:space="preserve">(90,6%) . </w:t>
      </w:r>
      <w:r w:rsidRPr="006C3F84">
        <w:t xml:space="preserve">В текущем </w:t>
      </w:r>
      <w:r w:rsidR="001D1996">
        <w:t>году</w:t>
      </w:r>
      <w:r w:rsidRPr="006C3F84">
        <w:t xml:space="preserve"> </w:t>
      </w:r>
      <w:r w:rsidR="002C04DE" w:rsidRPr="006C3F84">
        <w:t xml:space="preserve">наблюдается </w:t>
      </w:r>
      <w:r w:rsidRPr="006C3F84">
        <w:t>рост вы</w:t>
      </w:r>
      <w:r w:rsidR="006C3F84" w:rsidRPr="006C3F84">
        <w:t xml:space="preserve">пуска </w:t>
      </w:r>
      <w:r w:rsidR="00285F57" w:rsidRPr="006C3F84">
        <w:t>муки</w:t>
      </w:r>
      <w:r w:rsidR="00A0030A" w:rsidRPr="006C3F84">
        <w:t>.</w:t>
      </w:r>
      <w:r w:rsidR="00285F57" w:rsidRPr="006C3F84">
        <w:t xml:space="preserve"> По таким позициям,  как мебель, око</w:t>
      </w:r>
      <w:r w:rsidR="00285F57" w:rsidRPr="006C3F84">
        <w:t>н</w:t>
      </w:r>
      <w:r w:rsidR="00285F57" w:rsidRPr="006C3F84">
        <w:t>ные блоки, хлеб</w:t>
      </w:r>
      <w:r w:rsidR="006C3F84" w:rsidRPr="006C3F84">
        <w:t>,</w:t>
      </w:r>
      <w:r w:rsidR="00285F57" w:rsidRPr="006C3F84">
        <w:t xml:space="preserve"> хлебобулочные</w:t>
      </w:r>
      <w:r w:rsidR="006C3F84" w:rsidRPr="006C3F84">
        <w:t>, макаронные</w:t>
      </w:r>
      <w:r w:rsidR="00285F57" w:rsidRPr="006C3F84">
        <w:t xml:space="preserve"> изделия произошел спад производства. Для </w:t>
      </w:r>
      <w:r w:rsidR="001D1996">
        <w:t>ув</w:t>
      </w:r>
      <w:r w:rsidR="001D1996">
        <w:t>е</w:t>
      </w:r>
      <w:r w:rsidR="001D1996">
        <w:t>личения</w:t>
      </w:r>
      <w:r w:rsidR="00285F57" w:rsidRPr="006C3F84">
        <w:t xml:space="preserve"> объемов</w:t>
      </w:r>
      <w:r w:rsidR="00285F57">
        <w:t xml:space="preserve"> выпуска продукции н</w:t>
      </w:r>
      <w:r w:rsidR="00A0030A">
        <w:t xml:space="preserve">а предприятии приобретено </w:t>
      </w:r>
      <w:r w:rsidRPr="00A0030A">
        <w:t xml:space="preserve"> </w:t>
      </w:r>
      <w:r w:rsidR="005E6B45">
        <w:t xml:space="preserve">офсетное </w:t>
      </w:r>
      <w:r w:rsidR="00FF5B58">
        <w:t>п</w:t>
      </w:r>
      <w:r w:rsidR="00FF5B58">
        <w:t>е</w:t>
      </w:r>
      <w:r w:rsidR="00FF5B58">
        <w:t>чатное оборудование и для своих нужд изготавливаются бланки</w:t>
      </w:r>
      <w:r w:rsidR="005E6B45">
        <w:t>. В дальнейшем планируется и</w:t>
      </w:r>
      <w:r w:rsidR="005E6B45">
        <w:t>з</w:t>
      </w:r>
      <w:r w:rsidR="005E6B45">
        <w:t>готовление бланков для    исправительных колоний области.</w:t>
      </w:r>
      <w:r w:rsidR="006D05CB">
        <w:t xml:space="preserve"> </w:t>
      </w:r>
      <w:r w:rsidR="002C04DE">
        <w:t>Кроме того предприятие в</w:t>
      </w:r>
      <w:r w:rsidR="002C04DE">
        <w:t>ы</w:t>
      </w:r>
      <w:r w:rsidR="002C04DE">
        <w:t>пускает такие в</w:t>
      </w:r>
      <w:r w:rsidR="006D05CB">
        <w:t>иды продукции как ламинат, окна для жилых домов, осущест</w:t>
      </w:r>
      <w:r w:rsidR="006D05CB">
        <w:t>в</w:t>
      </w:r>
      <w:r w:rsidR="006D05CB">
        <w:t>ляет сборку термометров и пошив обмундирования.</w:t>
      </w:r>
    </w:p>
    <w:p w:rsidR="00A514B9" w:rsidRPr="00A514B9" w:rsidRDefault="00A514B9" w:rsidP="00285F57">
      <w:pPr>
        <w:jc w:val="both"/>
      </w:pPr>
      <w:r>
        <w:rPr>
          <w:sz w:val="28"/>
          <w:szCs w:val="28"/>
        </w:rPr>
        <w:t xml:space="preserve">              </w:t>
      </w:r>
      <w:r w:rsidRPr="00A514B9">
        <w:t>В «Валдайлесстрое» после остановки в период кризиса, возобновлено произво</w:t>
      </w:r>
      <w:r w:rsidRPr="00A514B9">
        <w:t>д</w:t>
      </w:r>
      <w:r w:rsidRPr="00A514B9">
        <w:t xml:space="preserve">ство пиломатериалов, ведется заготовка древесины, </w:t>
      </w:r>
      <w:r w:rsidR="00CA3AEA">
        <w:t xml:space="preserve">работают цеха </w:t>
      </w:r>
      <w:r w:rsidRPr="00A514B9">
        <w:t xml:space="preserve"> по выпуску калибр</w:t>
      </w:r>
      <w:r w:rsidRPr="00A514B9">
        <w:t>о</w:t>
      </w:r>
      <w:r w:rsidRPr="00A514B9">
        <w:t>ванного бревна</w:t>
      </w:r>
      <w:r w:rsidR="00CA3AEA">
        <w:t xml:space="preserve"> и склеиванию</w:t>
      </w:r>
      <w:r w:rsidRPr="00A514B9">
        <w:t xml:space="preserve">. Создано </w:t>
      </w:r>
      <w:r w:rsidR="002A504A">
        <w:t>7</w:t>
      </w:r>
      <w:r w:rsidR="003C6E52">
        <w:t>0</w:t>
      </w:r>
      <w:r w:rsidRPr="00A514B9">
        <w:t xml:space="preserve"> рабочих мест. Продукция востребована на внутреннем рынке и за пределами Российской Федерации. </w:t>
      </w:r>
      <w:r>
        <w:t xml:space="preserve">Экспорт </w:t>
      </w:r>
      <w:r w:rsidR="00217A6E">
        <w:t>продукции</w:t>
      </w:r>
      <w:r>
        <w:t xml:space="preserve"> в Норв</w:t>
      </w:r>
      <w:r>
        <w:t>е</w:t>
      </w:r>
      <w:r>
        <w:t xml:space="preserve">гию составил </w:t>
      </w:r>
      <w:r w:rsidR="003C6E52">
        <w:t xml:space="preserve">за  2011 год </w:t>
      </w:r>
      <w:r>
        <w:t xml:space="preserve"> </w:t>
      </w:r>
      <w:r w:rsidR="002A504A">
        <w:t>7,3</w:t>
      </w:r>
      <w:r>
        <w:t xml:space="preserve"> млн.руб.</w:t>
      </w:r>
      <w:r w:rsidR="00984F1B">
        <w:t xml:space="preserve">(рост в </w:t>
      </w:r>
      <w:r w:rsidR="002A504A">
        <w:t xml:space="preserve">2,8 </w:t>
      </w:r>
      <w:r w:rsidR="00984F1B">
        <w:t>раз)</w:t>
      </w:r>
    </w:p>
    <w:p w:rsidR="005132E1" w:rsidRDefault="00A514B9" w:rsidP="00285F57">
      <w:pPr>
        <w:jc w:val="both"/>
      </w:pPr>
      <w:r>
        <w:tab/>
      </w:r>
      <w:r w:rsidR="00010DA9">
        <w:tab/>
      </w:r>
    </w:p>
    <w:p w:rsidR="005132E1" w:rsidRDefault="005132E1" w:rsidP="00285F57">
      <w:pPr>
        <w:jc w:val="both"/>
      </w:pPr>
    </w:p>
    <w:p w:rsidR="005132E1" w:rsidRDefault="005132E1" w:rsidP="00285F57">
      <w:pPr>
        <w:jc w:val="both"/>
      </w:pPr>
    </w:p>
    <w:p w:rsidR="005132E1" w:rsidRDefault="005132E1" w:rsidP="00285F57">
      <w:pPr>
        <w:jc w:val="both"/>
      </w:pPr>
    </w:p>
    <w:p w:rsidR="005132E1" w:rsidRDefault="005132E1" w:rsidP="00285F57">
      <w:pPr>
        <w:jc w:val="both"/>
      </w:pPr>
    </w:p>
    <w:p w:rsidR="005132E1" w:rsidRDefault="005132E1" w:rsidP="00285F57">
      <w:pPr>
        <w:jc w:val="both"/>
      </w:pPr>
    </w:p>
    <w:p w:rsidR="005132E1" w:rsidRDefault="005132E1" w:rsidP="00285F57">
      <w:pPr>
        <w:jc w:val="both"/>
      </w:pPr>
    </w:p>
    <w:p w:rsidR="000A543C" w:rsidRDefault="004B234B" w:rsidP="00285F57">
      <w:pPr>
        <w:jc w:val="both"/>
        <w:rPr>
          <w:b/>
        </w:rPr>
      </w:pPr>
      <w:r>
        <w:t xml:space="preserve"> </w:t>
      </w:r>
      <w:r w:rsidR="000A543C" w:rsidRPr="00AA5A36">
        <w:rPr>
          <w:b/>
        </w:rPr>
        <w:t>Производство основных видов продукции за</w:t>
      </w:r>
      <w:r w:rsidR="000A543C">
        <w:rPr>
          <w:b/>
        </w:rPr>
        <w:t xml:space="preserve">  </w:t>
      </w:r>
      <w:r w:rsidR="000A543C" w:rsidRPr="00AA5A36">
        <w:rPr>
          <w:b/>
        </w:rPr>
        <w:t>201</w:t>
      </w:r>
      <w:r w:rsidR="000A543C">
        <w:rPr>
          <w:b/>
        </w:rPr>
        <w:t>1</w:t>
      </w:r>
      <w:r w:rsidR="000A543C" w:rsidRPr="00AA5A36">
        <w:rPr>
          <w:b/>
        </w:rPr>
        <w:t xml:space="preserve"> год.</w:t>
      </w:r>
    </w:p>
    <w:p w:rsidR="000A543C" w:rsidRDefault="000A543C" w:rsidP="00285F57">
      <w:pPr>
        <w:jc w:val="both"/>
        <w:rPr>
          <w:b/>
        </w:rPr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71"/>
        <w:gridCol w:w="1220"/>
        <w:gridCol w:w="1097"/>
        <w:gridCol w:w="1097"/>
        <w:gridCol w:w="1550"/>
      </w:tblGrid>
      <w:tr w:rsidR="000A543C">
        <w:tc>
          <w:tcPr>
            <w:tcW w:w="0" w:type="auto"/>
            <w:vMerge w:val="restart"/>
          </w:tcPr>
          <w:p w:rsidR="000A543C" w:rsidRPr="00AA5A36" w:rsidRDefault="000A543C" w:rsidP="00285F57">
            <w:pPr>
              <w:jc w:val="both"/>
            </w:pPr>
            <w:r w:rsidRPr="00AA5A36">
              <w:t>Наименование предпр</w:t>
            </w:r>
            <w:r w:rsidRPr="00AA5A36">
              <w:t>и</w:t>
            </w:r>
            <w:r w:rsidRPr="00AA5A36">
              <w:t>ятия</w:t>
            </w:r>
          </w:p>
        </w:tc>
        <w:tc>
          <w:tcPr>
            <w:tcW w:w="0" w:type="auto"/>
          </w:tcPr>
          <w:p w:rsidR="000A543C" w:rsidRPr="00AA5A36" w:rsidRDefault="000A543C" w:rsidP="00285F57">
            <w:pPr>
              <w:jc w:val="both"/>
            </w:pPr>
            <w:r w:rsidRPr="00AA5A36">
              <w:t>Ед.изм.</w:t>
            </w:r>
          </w:p>
        </w:tc>
        <w:tc>
          <w:tcPr>
            <w:tcW w:w="3744" w:type="dxa"/>
            <w:gridSpan w:val="3"/>
          </w:tcPr>
          <w:p w:rsidR="000A543C" w:rsidRPr="00AA5A36" w:rsidRDefault="000A543C" w:rsidP="00285F57">
            <w:pPr>
              <w:jc w:val="both"/>
            </w:pPr>
            <w:r>
              <w:t>Произведено в натуральном в</w:t>
            </w:r>
            <w:r>
              <w:t>ы</w:t>
            </w:r>
            <w:r>
              <w:t>ражении</w:t>
            </w:r>
          </w:p>
        </w:tc>
      </w:tr>
      <w:tr w:rsidR="000A543C">
        <w:tc>
          <w:tcPr>
            <w:tcW w:w="0" w:type="auto"/>
            <w:vMerge/>
          </w:tcPr>
          <w:p w:rsidR="000A543C" w:rsidRPr="00AA5A36" w:rsidRDefault="000A543C" w:rsidP="00285F57">
            <w:pPr>
              <w:jc w:val="both"/>
            </w:pPr>
          </w:p>
        </w:tc>
        <w:tc>
          <w:tcPr>
            <w:tcW w:w="0" w:type="auto"/>
          </w:tcPr>
          <w:p w:rsidR="000A543C" w:rsidRPr="00AA5A36" w:rsidRDefault="000A543C" w:rsidP="00285F57">
            <w:pPr>
              <w:jc w:val="both"/>
            </w:pPr>
          </w:p>
        </w:tc>
        <w:tc>
          <w:tcPr>
            <w:tcW w:w="0" w:type="auto"/>
          </w:tcPr>
          <w:p w:rsidR="000A543C" w:rsidRPr="00AA5A36" w:rsidRDefault="000A543C" w:rsidP="00285F57">
            <w:pPr>
              <w:jc w:val="both"/>
            </w:pPr>
            <w:r>
              <w:t>2011 год</w:t>
            </w:r>
          </w:p>
        </w:tc>
        <w:tc>
          <w:tcPr>
            <w:tcW w:w="0" w:type="auto"/>
          </w:tcPr>
          <w:p w:rsidR="000A543C" w:rsidRPr="00AA5A36" w:rsidRDefault="000A543C" w:rsidP="00285F57">
            <w:pPr>
              <w:jc w:val="both"/>
            </w:pPr>
            <w:r>
              <w:t>2010 год</w:t>
            </w:r>
          </w:p>
        </w:tc>
        <w:tc>
          <w:tcPr>
            <w:tcW w:w="1550" w:type="dxa"/>
          </w:tcPr>
          <w:p w:rsidR="000A543C" w:rsidRDefault="000A543C" w:rsidP="00285F57">
            <w:pPr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.в % </w:t>
            </w:r>
          </w:p>
          <w:p w:rsidR="000A543C" w:rsidRPr="00AA5A36" w:rsidRDefault="000A543C" w:rsidP="00285F57">
            <w:pPr>
              <w:jc w:val="both"/>
            </w:pPr>
            <w:r>
              <w:t xml:space="preserve">к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0A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EC1C18" w:rsidP="00285F5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ФКУ ИК-4</w:t>
            </w:r>
          </w:p>
          <w:p w:rsidR="000A543C" w:rsidRPr="000A5AEF" w:rsidRDefault="000A543C" w:rsidP="00285F57">
            <w:pPr>
              <w:jc w:val="both"/>
              <w:rPr>
                <w:u w:val="single"/>
              </w:rPr>
            </w:pPr>
            <w:r w:rsidRPr="000A5AEF">
              <w:t>-дверные</w:t>
            </w:r>
            <w:r w:rsidR="00BA79B0">
              <w:t>,</w:t>
            </w:r>
            <w:r w:rsidRPr="000A5AEF">
              <w:t xml:space="preserve"> оконные блоки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0A543C" w:rsidP="00285F57">
            <w:pPr>
              <w:jc w:val="both"/>
            </w:pPr>
          </w:p>
          <w:p w:rsidR="000A543C" w:rsidRPr="00AA5A36" w:rsidRDefault="000A543C" w:rsidP="00285F57">
            <w:pPr>
              <w:jc w:val="both"/>
            </w:pPr>
            <w:r>
              <w:t>тыс. кв.м.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9B0" w:rsidRDefault="00BA79B0" w:rsidP="006C3F84">
            <w:pPr>
              <w:jc w:val="center"/>
            </w:pPr>
          </w:p>
          <w:p w:rsidR="006C3F84" w:rsidRPr="00AA5A36" w:rsidRDefault="006C3F84" w:rsidP="006C3F84">
            <w:pPr>
              <w:jc w:val="center"/>
            </w:pPr>
            <w:r>
              <w:t>0,47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9B0" w:rsidRDefault="00BA79B0" w:rsidP="006C3F84">
            <w:pPr>
              <w:jc w:val="center"/>
            </w:pPr>
          </w:p>
          <w:p w:rsidR="00CA759E" w:rsidRPr="00AA5A36" w:rsidRDefault="00CA759E" w:rsidP="006C3F84">
            <w:pPr>
              <w:jc w:val="center"/>
            </w:pPr>
            <w:r>
              <w:t>6,047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A79B0" w:rsidRDefault="00BA79B0" w:rsidP="006C3F84">
            <w:pPr>
              <w:jc w:val="center"/>
            </w:pPr>
          </w:p>
          <w:p w:rsidR="006C3F84" w:rsidRPr="00AA5A36" w:rsidRDefault="006C3F84" w:rsidP="006C3F84">
            <w:pPr>
              <w:jc w:val="center"/>
            </w:pPr>
            <w:r>
              <w:t>7,8</w:t>
            </w:r>
          </w:p>
        </w:tc>
      </w:tr>
      <w:tr w:rsidR="000A543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>-мебель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>тыс.руб.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1491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CA759E" w:rsidP="006C3F84">
            <w:pPr>
              <w:jc w:val="center"/>
            </w:pPr>
            <w:r>
              <w:t>1606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92,8</w:t>
            </w:r>
          </w:p>
        </w:tc>
      </w:tr>
      <w:tr w:rsidR="000A543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>В т.ч. стул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42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CA759E" w:rsidP="006C3F84">
            <w:pPr>
              <w:jc w:val="center"/>
            </w:pPr>
            <w:r>
              <w:t>194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21,6</w:t>
            </w:r>
          </w:p>
        </w:tc>
      </w:tr>
      <w:tr w:rsidR="000A543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 xml:space="preserve">          кровать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CA759E" w:rsidP="006C3F84">
            <w:pPr>
              <w:jc w:val="center"/>
            </w:pPr>
            <w:r>
              <w:t>46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50</w:t>
            </w:r>
          </w:p>
        </w:tc>
      </w:tr>
      <w:tr w:rsidR="000A543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 xml:space="preserve">          шкаф 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>штук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23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CA759E" w:rsidP="006C3F84">
            <w:pPr>
              <w:jc w:val="center"/>
            </w:pPr>
            <w:r>
              <w:t>4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575</w:t>
            </w:r>
          </w:p>
        </w:tc>
      </w:tr>
      <w:tr w:rsidR="000A543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>-хлеб и хлебобулочные изделия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0A543C" w:rsidP="00285F57">
            <w:pPr>
              <w:jc w:val="both"/>
            </w:pPr>
            <w:r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212,04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CA759E" w:rsidP="006C3F84">
            <w:pPr>
              <w:jc w:val="center"/>
            </w:pPr>
            <w:r>
              <w:t>218,7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AA5A36" w:rsidRDefault="006C3F84" w:rsidP="006C3F84">
            <w:pPr>
              <w:jc w:val="center"/>
            </w:pPr>
            <w:r>
              <w:t>97</w:t>
            </w:r>
          </w:p>
        </w:tc>
      </w:tr>
      <w:tr w:rsidR="000A543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0A543C" w:rsidP="00285F57">
            <w:pPr>
              <w:jc w:val="both"/>
            </w:pPr>
            <w:r>
              <w:t>-макаронные изделия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0A543C" w:rsidP="00285F57">
            <w:pPr>
              <w:jc w:val="both"/>
            </w:pPr>
            <w:r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6C3F84" w:rsidP="006C3F84">
            <w:pPr>
              <w:jc w:val="center"/>
            </w:pPr>
            <w:r>
              <w:t>25,95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CA759E" w:rsidP="006C3F84">
            <w:pPr>
              <w:jc w:val="center"/>
            </w:pPr>
            <w:r>
              <w:t>35,5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6C3F84" w:rsidP="006C3F84">
            <w:pPr>
              <w:jc w:val="center"/>
            </w:pPr>
            <w:r>
              <w:t>73,1</w:t>
            </w:r>
          </w:p>
        </w:tc>
      </w:tr>
      <w:tr w:rsidR="000A543C"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C" w:rsidRDefault="000A543C" w:rsidP="00285F57">
            <w:pPr>
              <w:jc w:val="both"/>
            </w:pPr>
            <w:r>
              <w:t>-мука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C" w:rsidRDefault="000A543C" w:rsidP="00285F57">
            <w:pPr>
              <w:jc w:val="both"/>
            </w:pPr>
            <w:r>
              <w:t>тонн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C" w:rsidRDefault="006C3F84" w:rsidP="006C3F84">
            <w:pPr>
              <w:jc w:val="center"/>
            </w:pPr>
            <w:r>
              <w:t>255,4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C" w:rsidRDefault="00CA759E" w:rsidP="006C3F84">
            <w:pPr>
              <w:jc w:val="center"/>
            </w:pPr>
            <w:r>
              <w:t>193,9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543C" w:rsidRDefault="006C3F84" w:rsidP="006C3F84">
            <w:pPr>
              <w:jc w:val="center"/>
            </w:pPr>
            <w:r>
              <w:t>131,7</w:t>
            </w:r>
          </w:p>
        </w:tc>
      </w:tr>
      <w:tr w:rsidR="000A543C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6C0D66" w:rsidRDefault="000A543C" w:rsidP="00285F5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ООО «Юпитер»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0A543C" w:rsidP="00285F57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0A543C" w:rsidP="006C3F84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0A543C" w:rsidP="006C3F84">
            <w:pPr>
              <w:jc w:val="center"/>
            </w:pP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0A543C" w:rsidP="006C3F84">
            <w:pPr>
              <w:jc w:val="center"/>
            </w:pPr>
          </w:p>
        </w:tc>
      </w:tr>
      <w:tr w:rsidR="000A543C"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6C0D66" w:rsidRDefault="000A543C" w:rsidP="00285F57">
            <w:pPr>
              <w:jc w:val="both"/>
            </w:pPr>
            <w:r w:rsidRPr="006C0D66">
              <w:t>-</w:t>
            </w:r>
            <w:r>
              <w:t xml:space="preserve"> оптические приборы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Pr="006C0D66" w:rsidRDefault="000A543C" w:rsidP="00285F57">
            <w:pPr>
              <w:jc w:val="both"/>
            </w:pPr>
            <w:r>
              <w:t>тыс.руб.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A504A" w:rsidRDefault="002A504A" w:rsidP="006C3F84">
            <w:pPr>
              <w:jc w:val="center"/>
            </w:pPr>
            <w:r>
              <w:t>47488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CA759E" w:rsidP="006C3F84">
            <w:pPr>
              <w:jc w:val="center"/>
            </w:pPr>
            <w:r>
              <w:t>27367</w:t>
            </w:r>
          </w:p>
        </w:tc>
        <w:tc>
          <w:tcPr>
            <w:tcW w:w="15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A543C" w:rsidRDefault="006C3F84" w:rsidP="006C3F84">
            <w:pPr>
              <w:jc w:val="center"/>
            </w:pPr>
            <w:r>
              <w:t>173,5</w:t>
            </w:r>
          </w:p>
        </w:tc>
      </w:tr>
      <w:tr w:rsidR="000A543C">
        <w:tc>
          <w:tcPr>
            <w:tcW w:w="0" w:type="auto"/>
            <w:tcBorders>
              <w:top w:val="single" w:sz="4" w:space="0" w:color="auto"/>
            </w:tcBorders>
          </w:tcPr>
          <w:p w:rsidR="000A543C" w:rsidRDefault="00EC1C18" w:rsidP="00285F57">
            <w:pPr>
              <w:jc w:val="both"/>
              <w:rPr>
                <w:u w:val="single"/>
              </w:rPr>
            </w:pPr>
            <w:r>
              <w:rPr>
                <w:u w:val="single"/>
              </w:rPr>
              <w:t>ООО «</w:t>
            </w:r>
            <w:r w:rsidR="000A543C" w:rsidRPr="006C0D66">
              <w:rPr>
                <w:u w:val="single"/>
              </w:rPr>
              <w:t>Валдайлесстрой</w:t>
            </w:r>
            <w:r>
              <w:rPr>
                <w:u w:val="single"/>
              </w:rPr>
              <w:t>»</w:t>
            </w:r>
          </w:p>
          <w:p w:rsidR="000A543C" w:rsidRPr="006C0D66" w:rsidRDefault="000A543C" w:rsidP="00285F57">
            <w:pPr>
              <w:jc w:val="both"/>
            </w:pPr>
            <w:r w:rsidRPr="006C0D66">
              <w:t>-Пиломатериалы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0A543C" w:rsidRDefault="000A543C" w:rsidP="00285F57">
            <w:pPr>
              <w:jc w:val="both"/>
            </w:pPr>
          </w:p>
          <w:p w:rsidR="000A543C" w:rsidRDefault="000A543C" w:rsidP="00285F57">
            <w:pPr>
              <w:jc w:val="both"/>
            </w:pPr>
            <w:r>
              <w:t>тыс.куб.м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9B42FC" w:rsidRDefault="009B42FC" w:rsidP="006C3F84">
            <w:pPr>
              <w:jc w:val="center"/>
            </w:pPr>
          </w:p>
          <w:p w:rsidR="006C3F84" w:rsidRDefault="006C3F84" w:rsidP="006C3F84">
            <w:pPr>
              <w:jc w:val="center"/>
            </w:pPr>
            <w:r>
              <w:t>6,3</w:t>
            </w:r>
          </w:p>
        </w:tc>
        <w:tc>
          <w:tcPr>
            <w:tcW w:w="0" w:type="auto"/>
            <w:tcBorders>
              <w:top w:val="single" w:sz="4" w:space="0" w:color="auto"/>
            </w:tcBorders>
          </w:tcPr>
          <w:p w:rsidR="00DB5DA3" w:rsidRDefault="00DB5DA3" w:rsidP="006C3F84">
            <w:pPr>
              <w:jc w:val="center"/>
            </w:pPr>
          </w:p>
          <w:p w:rsidR="00CA759E" w:rsidRDefault="00CA759E" w:rsidP="006C3F84">
            <w:pPr>
              <w:jc w:val="center"/>
            </w:pPr>
            <w:r>
              <w:t>2,34</w:t>
            </w:r>
          </w:p>
        </w:tc>
        <w:tc>
          <w:tcPr>
            <w:tcW w:w="1550" w:type="dxa"/>
            <w:tcBorders>
              <w:top w:val="single" w:sz="4" w:space="0" w:color="auto"/>
            </w:tcBorders>
          </w:tcPr>
          <w:p w:rsidR="00D46482" w:rsidRDefault="00D46482" w:rsidP="006C3F84">
            <w:pPr>
              <w:jc w:val="center"/>
            </w:pPr>
          </w:p>
          <w:p w:rsidR="009B42FC" w:rsidRDefault="006C3F84" w:rsidP="006C3F84">
            <w:pPr>
              <w:jc w:val="center"/>
            </w:pPr>
            <w:r>
              <w:t>269,2</w:t>
            </w:r>
          </w:p>
        </w:tc>
      </w:tr>
    </w:tbl>
    <w:p w:rsidR="00B14804" w:rsidRDefault="000A543C" w:rsidP="00285F57">
      <w:pPr>
        <w:jc w:val="both"/>
      </w:pPr>
      <w:r>
        <w:rPr>
          <w:b/>
        </w:rPr>
        <w:t xml:space="preserve">   </w:t>
      </w:r>
      <w:r>
        <w:tab/>
      </w:r>
    </w:p>
    <w:p w:rsidR="005E6B45" w:rsidRDefault="00B14804" w:rsidP="00285F57">
      <w:pPr>
        <w:jc w:val="both"/>
      </w:pPr>
      <w:r>
        <w:tab/>
      </w:r>
      <w:r w:rsidR="00D00450">
        <w:t xml:space="preserve">В сфере промышленного производства занято </w:t>
      </w:r>
      <w:r w:rsidR="004443E3">
        <w:t>6</w:t>
      </w:r>
      <w:r w:rsidR="00D91D8F">
        <w:t xml:space="preserve"> </w:t>
      </w:r>
      <w:r w:rsidR="00383B74">
        <w:t xml:space="preserve">малых  предприятий. </w:t>
      </w:r>
    </w:p>
    <w:p w:rsidR="003D5742" w:rsidRDefault="005E6B45" w:rsidP="00285F57">
      <w:pPr>
        <w:jc w:val="both"/>
      </w:pPr>
      <w:r>
        <w:tab/>
      </w:r>
      <w:r w:rsidR="00383B74">
        <w:t>ООО «Валдайски</w:t>
      </w:r>
      <w:r w:rsidR="00217A6E">
        <w:t>й</w:t>
      </w:r>
      <w:r w:rsidR="00383B74">
        <w:t xml:space="preserve"> насосны</w:t>
      </w:r>
      <w:r w:rsidR="00217A6E">
        <w:t>й</w:t>
      </w:r>
      <w:r w:rsidR="00383B74">
        <w:t xml:space="preserve"> завод» реализовано продукции </w:t>
      </w:r>
      <w:r w:rsidR="00D91D8F">
        <w:t xml:space="preserve">за </w:t>
      </w:r>
      <w:r w:rsidR="000575FB">
        <w:t>12</w:t>
      </w:r>
      <w:r w:rsidR="003C4904">
        <w:t xml:space="preserve"> </w:t>
      </w:r>
      <w:r w:rsidR="00D91D8F">
        <w:t>месяцев 2</w:t>
      </w:r>
      <w:r w:rsidR="00383B74">
        <w:t>01</w:t>
      </w:r>
      <w:r w:rsidR="00BE788D">
        <w:t>1</w:t>
      </w:r>
      <w:r w:rsidR="00383B74">
        <w:t xml:space="preserve"> г</w:t>
      </w:r>
      <w:r w:rsidR="00383B74">
        <w:t>о</w:t>
      </w:r>
      <w:r w:rsidR="00383B74">
        <w:t>д</w:t>
      </w:r>
      <w:r w:rsidR="00BE788D">
        <w:t>а</w:t>
      </w:r>
      <w:r w:rsidR="00383B74">
        <w:t xml:space="preserve"> на сумму </w:t>
      </w:r>
      <w:r w:rsidR="00336849">
        <w:t>72</w:t>
      </w:r>
      <w:r w:rsidR="003C4904">
        <w:t xml:space="preserve"> </w:t>
      </w:r>
      <w:r w:rsidR="00383B74">
        <w:t>млн.руб.</w:t>
      </w:r>
    </w:p>
    <w:p w:rsidR="00E52C73" w:rsidRDefault="00CA7D0F" w:rsidP="00285F57">
      <w:pPr>
        <w:jc w:val="both"/>
      </w:pPr>
      <w:r>
        <w:tab/>
        <w:t>ЗАО «Валдай»  произвело пищевой продукции на сумму</w:t>
      </w:r>
      <w:r w:rsidR="00F32340">
        <w:t xml:space="preserve"> 14,7</w:t>
      </w:r>
      <w:r>
        <w:t xml:space="preserve"> млн.руб. Выпущ</w:t>
      </w:r>
      <w:r>
        <w:t>е</w:t>
      </w:r>
      <w:r>
        <w:t xml:space="preserve">но </w:t>
      </w:r>
      <w:r w:rsidR="00F32340">
        <w:t>7909</w:t>
      </w:r>
      <w:r>
        <w:t xml:space="preserve"> тыс.условных банок овощных консервов</w:t>
      </w:r>
      <w:r w:rsidR="002950A5">
        <w:t>.</w:t>
      </w:r>
      <w:r w:rsidR="00C157D0">
        <w:t xml:space="preserve"> </w:t>
      </w:r>
      <w:r w:rsidR="00BF6606">
        <w:t xml:space="preserve">В </w:t>
      </w:r>
      <w:r w:rsidR="004D364D">
        <w:t xml:space="preserve">начале </w:t>
      </w:r>
      <w:r w:rsidR="00BF6606">
        <w:t xml:space="preserve">т.г. </w:t>
      </w:r>
      <w:r>
        <w:t xml:space="preserve"> предприяти</w:t>
      </w:r>
      <w:r w:rsidR="00BF6606">
        <w:t>е</w:t>
      </w:r>
      <w:r>
        <w:t xml:space="preserve"> </w:t>
      </w:r>
      <w:r w:rsidR="00BF6606">
        <w:t>приняло уч</w:t>
      </w:r>
      <w:r w:rsidR="00BF6606">
        <w:t>а</w:t>
      </w:r>
      <w:r w:rsidR="00BF6606">
        <w:t>стие в международной выста</w:t>
      </w:r>
      <w:r w:rsidR="00BF6606">
        <w:t>в</w:t>
      </w:r>
      <w:r w:rsidR="00BF6606">
        <w:t>ке ПРОДЭКСПО</w:t>
      </w:r>
      <w:r w:rsidR="00153C1C">
        <w:t>, проходившей в  Москве</w:t>
      </w:r>
      <w:r w:rsidR="003401BE">
        <w:t>.</w:t>
      </w:r>
      <w:r w:rsidR="000A5AEF">
        <w:t xml:space="preserve"> </w:t>
      </w:r>
    </w:p>
    <w:p w:rsidR="0092065B" w:rsidRDefault="00E52C73" w:rsidP="00285F57">
      <w:pPr>
        <w:jc w:val="both"/>
      </w:pPr>
      <w:r>
        <w:tab/>
      </w:r>
      <w:r w:rsidR="000A5AEF">
        <w:t>В целом малыми предприятиями реализ</w:t>
      </w:r>
      <w:r w:rsidR="000A5AEF">
        <w:t>о</w:t>
      </w:r>
      <w:r w:rsidR="000A5AEF">
        <w:t>вано продукции на сумму</w:t>
      </w:r>
      <w:r w:rsidR="00BE788D">
        <w:t xml:space="preserve"> </w:t>
      </w:r>
      <w:r w:rsidR="002D3127">
        <w:t xml:space="preserve"> </w:t>
      </w:r>
      <w:r w:rsidR="00DE542C">
        <w:t>94,1</w:t>
      </w:r>
      <w:r w:rsidR="00B3388E">
        <w:t xml:space="preserve"> </w:t>
      </w:r>
      <w:r w:rsidR="00D91D8F">
        <w:t>млн</w:t>
      </w:r>
      <w:r w:rsidR="000A5AEF">
        <w:t>.руб.</w:t>
      </w:r>
    </w:p>
    <w:p w:rsidR="00CA7D0F" w:rsidRDefault="000A5AEF" w:rsidP="00285F57">
      <w:pPr>
        <w:jc w:val="both"/>
      </w:pPr>
      <w:r>
        <w:t xml:space="preserve"> (</w:t>
      </w:r>
      <w:r w:rsidR="002D3127">
        <w:t xml:space="preserve"> </w:t>
      </w:r>
      <w:r w:rsidR="00DE542C">
        <w:t>114,1</w:t>
      </w:r>
      <w:r w:rsidR="00B3388E">
        <w:t xml:space="preserve"> </w:t>
      </w:r>
      <w:r>
        <w:t>% к уровню прошлого г</w:t>
      </w:r>
      <w:r>
        <w:t>о</w:t>
      </w:r>
      <w:r>
        <w:t>да)</w:t>
      </w:r>
    </w:p>
    <w:p w:rsidR="00572EDB" w:rsidRDefault="008426F2" w:rsidP="00285F57">
      <w:pPr>
        <w:jc w:val="both"/>
        <w:rPr>
          <w:b/>
        </w:rPr>
      </w:pPr>
      <w:r>
        <w:rPr>
          <w:b/>
        </w:rPr>
        <w:t xml:space="preserve">   </w:t>
      </w:r>
    </w:p>
    <w:p w:rsidR="00E21BE1" w:rsidRDefault="00E21BE1" w:rsidP="00C57E64">
      <w:pPr>
        <w:jc w:val="center"/>
        <w:rPr>
          <w:b/>
        </w:rPr>
      </w:pPr>
    </w:p>
    <w:p w:rsidR="008426F2" w:rsidRDefault="008426F2" w:rsidP="00C57E64">
      <w:pPr>
        <w:jc w:val="center"/>
        <w:rPr>
          <w:b/>
        </w:rPr>
      </w:pPr>
      <w:r>
        <w:rPr>
          <w:b/>
        </w:rPr>
        <w:t>СТРОИТЕЛЬСТВО.</w:t>
      </w:r>
      <w:r w:rsidR="00E21BE1">
        <w:rPr>
          <w:b/>
        </w:rPr>
        <w:t xml:space="preserve"> </w:t>
      </w:r>
    </w:p>
    <w:p w:rsidR="00E21BE1" w:rsidRDefault="00E21BE1" w:rsidP="00C57E64">
      <w:pPr>
        <w:jc w:val="center"/>
        <w:rPr>
          <w:b/>
        </w:rPr>
      </w:pPr>
    </w:p>
    <w:p w:rsidR="008426F2" w:rsidRDefault="008426F2" w:rsidP="00285F57">
      <w:pPr>
        <w:jc w:val="both"/>
      </w:pPr>
      <w:r>
        <w:tab/>
        <w:t>В</w:t>
      </w:r>
      <w:r w:rsidR="007030B0">
        <w:t xml:space="preserve"> </w:t>
      </w:r>
      <w:r>
        <w:t>201</w:t>
      </w:r>
      <w:r w:rsidR="007030B0">
        <w:t>1</w:t>
      </w:r>
      <w:r>
        <w:t xml:space="preserve"> год</w:t>
      </w:r>
      <w:r w:rsidR="00B41D0B">
        <w:t>у</w:t>
      </w:r>
      <w:r>
        <w:t xml:space="preserve"> объём работ и услуг, выполненных собственными силами по виду де</w:t>
      </w:r>
      <w:r>
        <w:t>я</w:t>
      </w:r>
      <w:r>
        <w:t xml:space="preserve">тельности «строительство» </w:t>
      </w:r>
      <w:r w:rsidR="0020407D">
        <w:t>состави</w:t>
      </w:r>
      <w:r w:rsidR="00ED25D8">
        <w:t>л</w:t>
      </w:r>
      <w:r w:rsidR="0020407D">
        <w:t>:</w:t>
      </w:r>
    </w:p>
    <w:p w:rsidR="00100DD3" w:rsidRDefault="00100DD3" w:rsidP="00285F57">
      <w:pPr>
        <w:jc w:val="both"/>
      </w:pP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6588"/>
        <w:gridCol w:w="1099"/>
        <w:gridCol w:w="1466"/>
      </w:tblGrid>
      <w:tr w:rsidR="00885915">
        <w:trPr>
          <w:trHeight w:val="276"/>
        </w:trPr>
        <w:tc>
          <w:tcPr>
            <w:tcW w:w="6588" w:type="dxa"/>
            <w:vMerge w:val="restart"/>
          </w:tcPr>
          <w:p w:rsidR="00885915" w:rsidRDefault="00885915" w:rsidP="00285F57">
            <w:pPr>
              <w:jc w:val="both"/>
            </w:pPr>
            <w:r>
              <w:t xml:space="preserve">Показатели </w:t>
            </w:r>
          </w:p>
        </w:tc>
        <w:tc>
          <w:tcPr>
            <w:tcW w:w="0" w:type="auto"/>
            <w:vMerge w:val="restart"/>
          </w:tcPr>
          <w:p w:rsidR="00885915" w:rsidRDefault="0072054E" w:rsidP="00285F57">
            <w:pPr>
              <w:jc w:val="both"/>
            </w:pPr>
            <w:r>
              <w:t>млн.</w:t>
            </w:r>
            <w:r w:rsidR="00885915">
              <w:t>руб.</w:t>
            </w:r>
          </w:p>
          <w:p w:rsidR="00EE345D" w:rsidRDefault="00EE345D" w:rsidP="00285F57">
            <w:pPr>
              <w:jc w:val="both"/>
            </w:pPr>
          </w:p>
          <w:p w:rsidR="00885915" w:rsidRDefault="00885915" w:rsidP="00285F57">
            <w:pPr>
              <w:jc w:val="both"/>
            </w:pPr>
            <w:r>
              <w:t>201</w:t>
            </w:r>
            <w:r w:rsidR="007030B0">
              <w:t>1</w:t>
            </w:r>
            <w:r>
              <w:t xml:space="preserve"> год</w:t>
            </w:r>
          </w:p>
        </w:tc>
        <w:tc>
          <w:tcPr>
            <w:tcW w:w="1404" w:type="dxa"/>
            <w:vMerge w:val="restart"/>
          </w:tcPr>
          <w:p w:rsidR="00885915" w:rsidRDefault="00885915" w:rsidP="00285F57">
            <w:pPr>
              <w:jc w:val="both"/>
            </w:pPr>
            <w:r>
              <w:t>В % к 20</w:t>
            </w:r>
            <w:r w:rsidR="007030B0">
              <w:t>1</w:t>
            </w:r>
            <w:r>
              <w:t>0 г</w:t>
            </w:r>
            <w:r>
              <w:t>о</w:t>
            </w:r>
            <w:r>
              <w:t>ду</w:t>
            </w:r>
            <w:r w:rsidR="007A10D5">
              <w:t>(индекс физ.объема)</w:t>
            </w:r>
          </w:p>
        </w:tc>
      </w:tr>
      <w:tr w:rsidR="00885915">
        <w:trPr>
          <w:trHeight w:val="276"/>
        </w:trPr>
        <w:tc>
          <w:tcPr>
            <w:tcW w:w="6588" w:type="dxa"/>
            <w:vMerge/>
          </w:tcPr>
          <w:p w:rsidR="00885915" w:rsidRDefault="00885915" w:rsidP="00285F57">
            <w:pPr>
              <w:jc w:val="both"/>
            </w:pPr>
          </w:p>
        </w:tc>
        <w:tc>
          <w:tcPr>
            <w:tcW w:w="0" w:type="auto"/>
            <w:vMerge/>
          </w:tcPr>
          <w:p w:rsidR="00885915" w:rsidRDefault="00885915" w:rsidP="00285F57">
            <w:pPr>
              <w:jc w:val="both"/>
            </w:pPr>
          </w:p>
        </w:tc>
        <w:tc>
          <w:tcPr>
            <w:tcW w:w="1404" w:type="dxa"/>
            <w:vMerge/>
          </w:tcPr>
          <w:p w:rsidR="00885915" w:rsidRDefault="00885915" w:rsidP="00285F57">
            <w:pPr>
              <w:jc w:val="both"/>
            </w:pPr>
          </w:p>
        </w:tc>
      </w:tr>
      <w:tr w:rsidR="00885915">
        <w:tc>
          <w:tcPr>
            <w:tcW w:w="6588" w:type="dxa"/>
          </w:tcPr>
          <w:p w:rsidR="00885915" w:rsidRDefault="00885915" w:rsidP="00285F57">
            <w:pPr>
              <w:jc w:val="both"/>
            </w:pPr>
            <w:r>
              <w:t>Объём работ и услуг , выполненных собственными сил</w:t>
            </w:r>
            <w:r>
              <w:t>а</w:t>
            </w:r>
            <w:r>
              <w:t>ми по виду деятельности «стро</w:t>
            </w:r>
            <w:r>
              <w:t>и</w:t>
            </w:r>
            <w:r>
              <w:t>тельство»</w:t>
            </w:r>
          </w:p>
        </w:tc>
        <w:tc>
          <w:tcPr>
            <w:tcW w:w="0" w:type="auto"/>
          </w:tcPr>
          <w:p w:rsidR="00885915" w:rsidRDefault="00EE345D" w:rsidP="00285F57">
            <w:pPr>
              <w:jc w:val="both"/>
            </w:pPr>
            <w:r>
              <w:t>1</w:t>
            </w:r>
            <w:r w:rsidR="00B41D0B">
              <w:t>16,8</w:t>
            </w:r>
          </w:p>
        </w:tc>
        <w:tc>
          <w:tcPr>
            <w:tcW w:w="1404" w:type="dxa"/>
          </w:tcPr>
          <w:p w:rsidR="00885915" w:rsidRDefault="00EE345D" w:rsidP="00285F57">
            <w:pPr>
              <w:jc w:val="both"/>
            </w:pPr>
            <w:r>
              <w:t>1</w:t>
            </w:r>
            <w:r w:rsidR="00B41D0B">
              <w:t>21,8</w:t>
            </w:r>
          </w:p>
        </w:tc>
      </w:tr>
    </w:tbl>
    <w:p w:rsidR="0020407D" w:rsidRDefault="00EA5EFB" w:rsidP="00285F57">
      <w:pPr>
        <w:jc w:val="both"/>
      </w:pPr>
      <w:r>
        <w:tab/>
      </w:r>
    </w:p>
    <w:p w:rsidR="00F764B2" w:rsidRPr="00E525FA" w:rsidRDefault="00217ADB" w:rsidP="00F764B2">
      <w:pPr>
        <w:jc w:val="both"/>
      </w:pPr>
      <w:r>
        <w:tab/>
      </w:r>
      <w:r w:rsidRPr="00816765">
        <w:t xml:space="preserve">В </w:t>
      </w:r>
      <w:r w:rsidR="001B0F55">
        <w:t xml:space="preserve">течение </w:t>
      </w:r>
      <w:r w:rsidR="002D3127" w:rsidRPr="00816765">
        <w:t xml:space="preserve"> </w:t>
      </w:r>
      <w:r w:rsidRPr="00816765">
        <w:t>201</w:t>
      </w:r>
      <w:r w:rsidR="002D3127" w:rsidRPr="00816765">
        <w:t>1</w:t>
      </w:r>
      <w:r w:rsidRPr="00816765">
        <w:t xml:space="preserve"> год</w:t>
      </w:r>
      <w:r w:rsidR="002D3127" w:rsidRPr="00816765">
        <w:t xml:space="preserve">а </w:t>
      </w:r>
      <w:r w:rsidR="007B395F">
        <w:t>введено 1772</w:t>
      </w:r>
      <w:r w:rsidR="00B41D0B">
        <w:t>3</w:t>
      </w:r>
      <w:r w:rsidR="007B395F">
        <w:t xml:space="preserve"> кв.м. жилья, в т.ч. и</w:t>
      </w:r>
      <w:r w:rsidR="002D3127" w:rsidRPr="00816765">
        <w:t>ндивидуальными застро</w:t>
      </w:r>
      <w:r w:rsidR="002D3127" w:rsidRPr="00816765">
        <w:t>й</w:t>
      </w:r>
      <w:r w:rsidR="002D3127" w:rsidRPr="00816765">
        <w:t xml:space="preserve">щиками </w:t>
      </w:r>
      <w:r w:rsidRPr="00816765">
        <w:t xml:space="preserve"> построено</w:t>
      </w:r>
      <w:r w:rsidR="00885915" w:rsidRPr="00816765">
        <w:t xml:space="preserve"> </w:t>
      </w:r>
      <w:r w:rsidR="00A91496">
        <w:t>5</w:t>
      </w:r>
      <w:r w:rsidR="001B0F55">
        <w:t>5</w:t>
      </w:r>
      <w:r w:rsidRPr="00816765">
        <w:t xml:space="preserve"> </w:t>
      </w:r>
      <w:r w:rsidR="002D3127" w:rsidRPr="00816765">
        <w:t>домов</w:t>
      </w:r>
      <w:r w:rsidRPr="00816765">
        <w:t xml:space="preserve"> общей площадью </w:t>
      </w:r>
      <w:r w:rsidR="00A91496">
        <w:t>460</w:t>
      </w:r>
      <w:r w:rsidR="00B41D0B">
        <w:t>8</w:t>
      </w:r>
      <w:r w:rsidRPr="00816765">
        <w:t xml:space="preserve"> квадратных метров</w:t>
      </w:r>
      <w:r w:rsidR="00FD05C2">
        <w:t>.</w:t>
      </w:r>
      <w:r w:rsidR="00F764B2" w:rsidRPr="00F764B2">
        <w:t xml:space="preserve"> </w:t>
      </w:r>
      <w:r w:rsidR="007B395F">
        <w:t>Вв</w:t>
      </w:r>
      <w:r w:rsidR="00F764B2">
        <w:t>едены в де</w:t>
      </w:r>
      <w:r w:rsidR="00F764B2">
        <w:t>й</w:t>
      </w:r>
      <w:r w:rsidR="00F764B2">
        <w:t xml:space="preserve">ствие 70-квартирный  дом по пр. Васильева (заказчик АНО «НЦСМ»), 168-квартирный дом по ул. Песчаной, (заказчик ЗАО«УМ -282» г.Боровичи), 8 квартирный </w:t>
      </w:r>
      <w:r w:rsidR="00F764B2" w:rsidRPr="00E525FA">
        <w:t xml:space="preserve"> малоэтажн</w:t>
      </w:r>
      <w:r w:rsidR="00F764B2">
        <w:t>ый</w:t>
      </w:r>
      <w:r w:rsidR="00F764B2" w:rsidRPr="00E525FA">
        <w:t xml:space="preserve"> жил</w:t>
      </w:r>
      <w:r w:rsidR="00F764B2">
        <w:t>ой</w:t>
      </w:r>
      <w:r w:rsidR="00F764B2" w:rsidRPr="00E525FA">
        <w:t xml:space="preserve"> дом по ул. Энергетиков (</w:t>
      </w:r>
      <w:r w:rsidR="00F764B2">
        <w:t>ООО « Проектно-строительное предприятие «НовЭнерг</w:t>
      </w:r>
      <w:r w:rsidR="00F764B2">
        <w:t>о</w:t>
      </w:r>
      <w:r w:rsidR="00F764B2">
        <w:t>Строй»</w:t>
      </w:r>
      <w:r w:rsidR="00F764B2" w:rsidRPr="00E525FA">
        <w:t>).</w:t>
      </w:r>
    </w:p>
    <w:p w:rsidR="002E5208" w:rsidRDefault="002E5208" w:rsidP="002E5208">
      <w:pPr>
        <w:jc w:val="both"/>
      </w:pPr>
      <w:r>
        <w:tab/>
      </w:r>
      <w:r w:rsidRPr="00816765">
        <w:t>Показатель ввода жилья на душу населения составил 0,</w:t>
      </w:r>
      <w:r>
        <w:t>67</w:t>
      </w:r>
      <w:r w:rsidRPr="00816765">
        <w:t xml:space="preserve"> кв.м. Средняя обесп</w:t>
      </w:r>
      <w:r w:rsidRPr="00816765">
        <w:t>е</w:t>
      </w:r>
      <w:r w:rsidRPr="00816765">
        <w:t xml:space="preserve">ченность жильём на одного жителя составляет </w:t>
      </w:r>
      <w:r w:rsidRPr="000A615A">
        <w:t>31,3</w:t>
      </w:r>
      <w:r w:rsidRPr="00AD427F">
        <w:t xml:space="preserve"> кв.м</w:t>
      </w:r>
      <w:r w:rsidRPr="00816765">
        <w:t>.</w:t>
      </w: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E5208" w:rsidRDefault="002E5208" w:rsidP="002E5208">
      <w:pPr>
        <w:jc w:val="both"/>
      </w:pPr>
      <w:r>
        <w:tab/>
      </w:r>
    </w:p>
    <w:p w:rsidR="00100DD3" w:rsidRPr="00816765" w:rsidRDefault="00100DD3" w:rsidP="00285F57">
      <w:pPr>
        <w:jc w:val="both"/>
      </w:pPr>
    </w:p>
    <w:p w:rsidR="002E5208" w:rsidRDefault="00100DD3" w:rsidP="00285F57">
      <w:pPr>
        <w:jc w:val="both"/>
      </w:pPr>
      <w:r>
        <w:tab/>
      </w:r>
    </w:p>
    <w:p w:rsidR="002E5208" w:rsidRDefault="002E5208" w:rsidP="00285F57">
      <w:pPr>
        <w:jc w:val="both"/>
      </w:pPr>
    </w:p>
    <w:p w:rsidR="001A699B" w:rsidRPr="00816765" w:rsidRDefault="001A699B" w:rsidP="00285F57">
      <w:pPr>
        <w:jc w:val="both"/>
      </w:pPr>
      <w:r w:rsidRPr="00816765">
        <w:t>Ввод в действие жилых домов представлен на диаграмме :</w:t>
      </w:r>
    </w:p>
    <w:p w:rsidR="001A699B" w:rsidRPr="00816765" w:rsidRDefault="001A699B" w:rsidP="00285F57">
      <w:pPr>
        <w:jc w:val="both"/>
      </w:pPr>
    </w:p>
    <w:p w:rsidR="00FD05C2" w:rsidRDefault="00F24626" w:rsidP="00A738D7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4944745" cy="2345055"/>
            <wp:effectExtent l="0" t="0" r="0" b="0"/>
            <wp:docPr id="5" name="Объект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F764B2" w:rsidRDefault="002D3127" w:rsidP="00285F57">
      <w:pPr>
        <w:jc w:val="both"/>
      </w:pPr>
      <w:r w:rsidRPr="00816765">
        <w:tab/>
      </w:r>
      <w:r>
        <w:tab/>
      </w:r>
    </w:p>
    <w:p w:rsidR="00731C86" w:rsidRDefault="00731C86" w:rsidP="00285F57">
      <w:pPr>
        <w:jc w:val="both"/>
      </w:pPr>
      <w:r>
        <w:t>Объёмы работ и услуг, выполненных предприяти</w:t>
      </w:r>
      <w:r>
        <w:t>я</w:t>
      </w:r>
      <w:r>
        <w:t>ми</w:t>
      </w:r>
      <w:r w:rsidR="007A10D5">
        <w:t xml:space="preserve"> района. </w:t>
      </w:r>
    </w:p>
    <w:p w:rsidR="00885915" w:rsidRDefault="00885915" w:rsidP="00285F57">
      <w:pPr>
        <w:jc w:val="both"/>
      </w:pPr>
      <w:r>
        <w:t xml:space="preserve">                                                                                                              тыс.руб.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3464"/>
        <w:gridCol w:w="876"/>
        <w:gridCol w:w="1097"/>
        <w:gridCol w:w="1351"/>
      </w:tblGrid>
      <w:tr w:rsidR="00731C86">
        <w:tc>
          <w:tcPr>
            <w:tcW w:w="3464" w:type="dxa"/>
          </w:tcPr>
          <w:p w:rsidR="00731C86" w:rsidRDefault="00731C86" w:rsidP="00285F57">
            <w:pPr>
              <w:jc w:val="both"/>
            </w:pPr>
            <w:r>
              <w:t>Наименование организации</w:t>
            </w:r>
          </w:p>
        </w:tc>
        <w:tc>
          <w:tcPr>
            <w:tcW w:w="696" w:type="dxa"/>
          </w:tcPr>
          <w:p w:rsidR="00731C86" w:rsidRDefault="00731C86" w:rsidP="00285F57">
            <w:pPr>
              <w:jc w:val="both"/>
            </w:pPr>
            <w:r>
              <w:t>201</w:t>
            </w:r>
            <w:r w:rsidR="007E700F">
              <w:t>1</w:t>
            </w:r>
            <w:r>
              <w:t xml:space="preserve"> год</w:t>
            </w:r>
          </w:p>
        </w:tc>
        <w:tc>
          <w:tcPr>
            <w:tcW w:w="0" w:type="auto"/>
          </w:tcPr>
          <w:p w:rsidR="00731C86" w:rsidRDefault="00731C86" w:rsidP="00285F57">
            <w:pPr>
              <w:jc w:val="both"/>
            </w:pPr>
            <w:r>
              <w:t>20</w:t>
            </w:r>
            <w:r w:rsidR="007E700F">
              <w:t>1</w:t>
            </w:r>
            <w:r>
              <w:t>0 год</w:t>
            </w:r>
          </w:p>
        </w:tc>
        <w:tc>
          <w:tcPr>
            <w:tcW w:w="0" w:type="auto"/>
          </w:tcPr>
          <w:p w:rsidR="007E700F" w:rsidRDefault="00731C86" w:rsidP="00285F57">
            <w:pPr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</w:t>
              </w:r>
              <w:r w:rsidR="007E700F">
                <w:t>1</w:t>
              </w:r>
              <w:r>
                <w:t xml:space="preserve"> г</w:t>
              </w:r>
            </w:smartTag>
            <w:r>
              <w:t xml:space="preserve">.в </w:t>
            </w:r>
          </w:p>
          <w:p w:rsidR="00731C86" w:rsidRDefault="00731C86" w:rsidP="00285F57">
            <w:pPr>
              <w:jc w:val="both"/>
            </w:pPr>
            <w:r>
              <w:t xml:space="preserve">% к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</w:t>
              </w:r>
              <w:r w:rsidR="007E700F">
                <w:t>1</w:t>
              </w:r>
              <w:r>
                <w:t>0 г</w:t>
              </w:r>
            </w:smartTag>
            <w:r>
              <w:t>.</w:t>
            </w:r>
          </w:p>
        </w:tc>
      </w:tr>
      <w:tr w:rsidR="00731C86">
        <w:tc>
          <w:tcPr>
            <w:tcW w:w="3464" w:type="dxa"/>
          </w:tcPr>
          <w:p w:rsidR="00731C86" w:rsidRDefault="00731C86" w:rsidP="00285F57">
            <w:pPr>
              <w:jc w:val="both"/>
            </w:pPr>
            <w:r>
              <w:t>ЗАО «Мелиодорстрой»</w:t>
            </w:r>
          </w:p>
        </w:tc>
        <w:tc>
          <w:tcPr>
            <w:tcW w:w="696" w:type="dxa"/>
          </w:tcPr>
          <w:p w:rsidR="00731C86" w:rsidRDefault="001A0B5B" w:rsidP="001A0B5B">
            <w:pPr>
              <w:jc w:val="center"/>
            </w:pPr>
            <w:r>
              <w:t>18906</w:t>
            </w:r>
          </w:p>
        </w:tc>
        <w:tc>
          <w:tcPr>
            <w:tcW w:w="0" w:type="auto"/>
          </w:tcPr>
          <w:p w:rsidR="00731C86" w:rsidRDefault="00CA759E" w:rsidP="001A0B5B">
            <w:pPr>
              <w:jc w:val="center"/>
            </w:pPr>
            <w:r>
              <w:t>34</w:t>
            </w:r>
            <w:r w:rsidR="00051523">
              <w:t>772</w:t>
            </w:r>
          </w:p>
        </w:tc>
        <w:tc>
          <w:tcPr>
            <w:tcW w:w="0" w:type="auto"/>
          </w:tcPr>
          <w:p w:rsidR="00731C86" w:rsidRDefault="001A0B5B" w:rsidP="001A0B5B">
            <w:pPr>
              <w:jc w:val="center"/>
            </w:pPr>
            <w:r>
              <w:t>54,4</w:t>
            </w:r>
          </w:p>
        </w:tc>
      </w:tr>
      <w:tr w:rsidR="00731C86">
        <w:tc>
          <w:tcPr>
            <w:tcW w:w="3464" w:type="dxa"/>
          </w:tcPr>
          <w:p w:rsidR="00731C86" w:rsidRDefault="00731C86" w:rsidP="00285F57">
            <w:pPr>
              <w:jc w:val="both"/>
            </w:pPr>
            <w:r>
              <w:t>ЗАО «СУ-5»</w:t>
            </w:r>
          </w:p>
        </w:tc>
        <w:tc>
          <w:tcPr>
            <w:tcW w:w="696" w:type="dxa"/>
          </w:tcPr>
          <w:p w:rsidR="00731C86" w:rsidRDefault="001A0B5B" w:rsidP="001A0B5B">
            <w:pPr>
              <w:jc w:val="center"/>
            </w:pPr>
            <w:r>
              <w:t>4438,2</w:t>
            </w:r>
          </w:p>
        </w:tc>
        <w:tc>
          <w:tcPr>
            <w:tcW w:w="0" w:type="auto"/>
          </w:tcPr>
          <w:p w:rsidR="00731C86" w:rsidRDefault="00051523" w:rsidP="001A0B5B">
            <w:pPr>
              <w:jc w:val="center"/>
            </w:pPr>
            <w:r>
              <w:t>5049,6</w:t>
            </w:r>
          </w:p>
        </w:tc>
        <w:tc>
          <w:tcPr>
            <w:tcW w:w="0" w:type="auto"/>
          </w:tcPr>
          <w:p w:rsidR="00731C86" w:rsidRDefault="001A0B5B" w:rsidP="001A0B5B">
            <w:pPr>
              <w:jc w:val="center"/>
            </w:pPr>
            <w:r>
              <w:t>87,9</w:t>
            </w:r>
          </w:p>
        </w:tc>
      </w:tr>
      <w:tr w:rsidR="00731C86">
        <w:tc>
          <w:tcPr>
            <w:tcW w:w="3464" w:type="dxa"/>
          </w:tcPr>
          <w:p w:rsidR="00731C86" w:rsidRDefault="00731C86" w:rsidP="00285F57">
            <w:pPr>
              <w:jc w:val="both"/>
            </w:pPr>
            <w:r>
              <w:t>ФГУ ДЭП-76</w:t>
            </w:r>
          </w:p>
        </w:tc>
        <w:tc>
          <w:tcPr>
            <w:tcW w:w="696" w:type="dxa"/>
          </w:tcPr>
          <w:p w:rsidR="00731C86" w:rsidRDefault="001A0B5B" w:rsidP="001A0B5B">
            <w:pPr>
              <w:jc w:val="center"/>
            </w:pPr>
            <w:r>
              <w:t>60162</w:t>
            </w:r>
          </w:p>
        </w:tc>
        <w:tc>
          <w:tcPr>
            <w:tcW w:w="0" w:type="auto"/>
          </w:tcPr>
          <w:p w:rsidR="00731C86" w:rsidRDefault="00051523" w:rsidP="001A0B5B">
            <w:pPr>
              <w:jc w:val="center"/>
            </w:pPr>
            <w:r>
              <w:t>124016</w:t>
            </w:r>
          </w:p>
        </w:tc>
        <w:tc>
          <w:tcPr>
            <w:tcW w:w="0" w:type="auto"/>
          </w:tcPr>
          <w:p w:rsidR="00731C86" w:rsidRDefault="001A0B5B" w:rsidP="001A0B5B">
            <w:pPr>
              <w:jc w:val="center"/>
            </w:pPr>
            <w:r>
              <w:t>48,5</w:t>
            </w:r>
          </w:p>
        </w:tc>
      </w:tr>
      <w:tr w:rsidR="00731C86">
        <w:tc>
          <w:tcPr>
            <w:tcW w:w="3464" w:type="dxa"/>
          </w:tcPr>
          <w:p w:rsidR="00731C86" w:rsidRDefault="00731C86" w:rsidP="00285F57">
            <w:pPr>
              <w:jc w:val="both"/>
            </w:pPr>
            <w:r>
              <w:t>ООО «Валдайское ДЭП»</w:t>
            </w:r>
          </w:p>
        </w:tc>
        <w:tc>
          <w:tcPr>
            <w:tcW w:w="696" w:type="dxa"/>
          </w:tcPr>
          <w:p w:rsidR="00731C86" w:rsidRDefault="001A0B5B" w:rsidP="001A0B5B">
            <w:pPr>
              <w:jc w:val="center"/>
            </w:pPr>
            <w:r>
              <w:t>23197</w:t>
            </w:r>
          </w:p>
        </w:tc>
        <w:tc>
          <w:tcPr>
            <w:tcW w:w="0" w:type="auto"/>
          </w:tcPr>
          <w:p w:rsidR="00731C86" w:rsidRDefault="00051523" w:rsidP="001A0B5B">
            <w:pPr>
              <w:jc w:val="center"/>
            </w:pPr>
            <w:r>
              <w:t>19761,7</w:t>
            </w:r>
          </w:p>
        </w:tc>
        <w:tc>
          <w:tcPr>
            <w:tcW w:w="0" w:type="auto"/>
          </w:tcPr>
          <w:p w:rsidR="00731C86" w:rsidRDefault="001A0B5B" w:rsidP="001A0B5B">
            <w:pPr>
              <w:jc w:val="center"/>
            </w:pPr>
            <w:r>
              <w:t>117,4</w:t>
            </w:r>
          </w:p>
        </w:tc>
      </w:tr>
      <w:tr w:rsidR="00731C86">
        <w:tc>
          <w:tcPr>
            <w:tcW w:w="3464" w:type="dxa"/>
          </w:tcPr>
          <w:p w:rsidR="00731C86" w:rsidRDefault="00731C86" w:rsidP="00285F57">
            <w:pPr>
              <w:jc w:val="both"/>
            </w:pPr>
            <w:r>
              <w:t>ЗАО «Спецгазремстрой»</w:t>
            </w:r>
          </w:p>
        </w:tc>
        <w:tc>
          <w:tcPr>
            <w:tcW w:w="696" w:type="dxa"/>
          </w:tcPr>
          <w:p w:rsidR="00731C86" w:rsidRDefault="001A0B5B" w:rsidP="001A0B5B">
            <w:pPr>
              <w:jc w:val="center"/>
            </w:pPr>
            <w:r>
              <w:t>44375</w:t>
            </w:r>
          </w:p>
        </w:tc>
        <w:tc>
          <w:tcPr>
            <w:tcW w:w="0" w:type="auto"/>
          </w:tcPr>
          <w:p w:rsidR="00731C86" w:rsidRDefault="00051523" w:rsidP="001A0B5B">
            <w:pPr>
              <w:jc w:val="center"/>
            </w:pPr>
            <w:r>
              <w:t>21000</w:t>
            </w:r>
          </w:p>
        </w:tc>
        <w:tc>
          <w:tcPr>
            <w:tcW w:w="0" w:type="auto"/>
          </w:tcPr>
          <w:p w:rsidR="00731C86" w:rsidRDefault="001A0B5B" w:rsidP="001A0B5B">
            <w:pPr>
              <w:jc w:val="center"/>
            </w:pPr>
            <w:r>
              <w:t>211,3</w:t>
            </w:r>
          </w:p>
        </w:tc>
      </w:tr>
    </w:tbl>
    <w:p w:rsidR="00731C86" w:rsidRDefault="00731C86" w:rsidP="00285F57">
      <w:pPr>
        <w:jc w:val="both"/>
      </w:pPr>
      <w:r>
        <w:t xml:space="preserve"> </w:t>
      </w:r>
    </w:p>
    <w:p w:rsidR="000C1F34" w:rsidRDefault="00FD05C2" w:rsidP="0025239F">
      <w:r>
        <w:tab/>
      </w:r>
      <w:r w:rsidR="00F14577">
        <w:t>Завершено строительство</w:t>
      </w:r>
      <w:r w:rsidR="000C1F34">
        <w:t xml:space="preserve"> Ледов</w:t>
      </w:r>
      <w:r w:rsidR="00F14577">
        <w:t>ого</w:t>
      </w:r>
      <w:r w:rsidR="000C1F34">
        <w:t xml:space="preserve"> дворц</w:t>
      </w:r>
      <w:r w:rsidR="00F14577">
        <w:t>а</w:t>
      </w:r>
      <w:r w:rsidR="0025239F">
        <w:t xml:space="preserve"> «Кристалл»</w:t>
      </w:r>
      <w:r w:rsidR="000C1F34">
        <w:t xml:space="preserve"> в г. Валдае</w:t>
      </w:r>
      <w:r w:rsidR="00690FC5">
        <w:t xml:space="preserve">, </w:t>
      </w:r>
      <w:r w:rsidR="0025239F" w:rsidRPr="0025239F">
        <w:t>с трибуной на 308 мест, построенный на средства Газпрома.</w:t>
      </w:r>
      <w:r w:rsidR="0025239F">
        <w:t xml:space="preserve"> О</w:t>
      </w:r>
      <w:r w:rsidR="00690FC5">
        <w:t>фициальное открытие  планируется в 1 квартале 2012 года.</w:t>
      </w:r>
    </w:p>
    <w:p w:rsidR="0025239F" w:rsidRPr="0025239F" w:rsidRDefault="0025239F" w:rsidP="0025239F">
      <w:pPr>
        <w:ind w:firstLine="708"/>
      </w:pPr>
      <w:r w:rsidRPr="0025239F">
        <w:t>По программе переселения граждан  из ветхого и аварийного жилья приобретены 2 квартиры в Яжелбицком сельском поселении.</w:t>
      </w:r>
    </w:p>
    <w:p w:rsidR="0025239F" w:rsidRPr="0025239F" w:rsidRDefault="0025239F" w:rsidP="0025239F">
      <w:pPr>
        <w:ind w:firstLine="708"/>
      </w:pPr>
      <w:r w:rsidRPr="0025239F">
        <w:t>По программе капитального ремонта многоквартирных жилых домов в г.Валдай израсходовано 4 млн. руб. и отремонтировано 4  жилых дома.</w:t>
      </w:r>
    </w:p>
    <w:p w:rsidR="00614BE6" w:rsidRDefault="0025239F" w:rsidP="00857008">
      <w:pPr>
        <w:rPr>
          <w:b/>
        </w:rPr>
      </w:pPr>
      <w:r w:rsidRPr="0025239F">
        <w:tab/>
      </w:r>
    </w:p>
    <w:p w:rsidR="00614BE6" w:rsidRDefault="00614BE6" w:rsidP="00BA6E19">
      <w:pPr>
        <w:jc w:val="center"/>
        <w:rPr>
          <w:b/>
        </w:rPr>
      </w:pPr>
    </w:p>
    <w:p w:rsidR="00AE1604" w:rsidRDefault="00AE1604" w:rsidP="00BA6E19">
      <w:pPr>
        <w:jc w:val="center"/>
      </w:pPr>
      <w:r w:rsidRPr="000C1F34">
        <w:rPr>
          <w:b/>
        </w:rPr>
        <w:t>СЕЛЬСКОЕ ХОЗЯЙСТВО</w:t>
      </w:r>
      <w:r w:rsidRPr="000C1F34">
        <w:t>.</w:t>
      </w:r>
    </w:p>
    <w:p w:rsidR="00AE1604" w:rsidRDefault="00AE1604" w:rsidP="00BA6E19">
      <w:pPr>
        <w:jc w:val="both"/>
      </w:pPr>
    </w:p>
    <w:p w:rsidR="00AE1604" w:rsidRDefault="00AE1604" w:rsidP="00BA6E19">
      <w:pPr>
        <w:jc w:val="both"/>
      </w:pPr>
      <w:r>
        <w:tab/>
        <w:t>Сельскохозяйственная отрасль в районе представлена 6 сельскохозяйственными предприятиями, 26 крестьянскими хозяйствами и 6 подсобными хозяйствами предпр</w:t>
      </w:r>
      <w:r>
        <w:t>и</w:t>
      </w:r>
      <w:r>
        <w:t>ятий и организаций. В районе также насчитывается 6201 личное подсобное х</w:t>
      </w:r>
      <w:r>
        <w:t>о</w:t>
      </w:r>
      <w:r>
        <w:t>зяйство.</w:t>
      </w:r>
    </w:p>
    <w:p w:rsidR="00852917" w:rsidRDefault="00852917" w:rsidP="00340AC2">
      <w:pPr>
        <w:jc w:val="both"/>
        <w:rPr>
          <w:b/>
        </w:rPr>
      </w:pPr>
    </w:p>
    <w:p w:rsidR="00340AC2" w:rsidRPr="006773B9" w:rsidRDefault="00340AC2" w:rsidP="00340AC2">
      <w:pPr>
        <w:jc w:val="both"/>
        <w:rPr>
          <w:b/>
        </w:rPr>
      </w:pPr>
      <w:r w:rsidRPr="006773B9">
        <w:rPr>
          <w:b/>
        </w:rPr>
        <w:t xml:space="preserve">Производство основных видов животноводства в  </w:t>
      </w:r>
      <w:smartTag w:uri="urn:schemas-microsoft-com:office:smarttags" w:element="metricconverter">
        <w:smartTagPr>
          <w:attr w:name="ProductID" w:val="2011 г"/>
        </w:smartTagPr>
        <w:r w:rsidRPr="006773B9">
          <w:rPr>
            <w:b/>
          </w:rPr>
          <w:t>201</w:t>
        </w:r>
        <w:r>
          <w:rPr>
            <w:b/>
          </w:rPr>
          <w:t>1</w:t>
        </w:r>
        <w:r w:rsidRPr="006773B9">
          <w:rPr>
            <w:b/>
          </w:rPr>
          <w:t xml:space="preserve"> г</w:t>
        </w:r>
      </w:smartTag>
      <w:r>
        <w:rPr>
          <w:b/>
        </w:rPr>
        <w:t>.</w:t>
      </w:r>
      <w:r w:rsidRPr="006773B9">
        <w:rPr>
          <w:b/>
        </w:rPr>
        <w:t xml:space="preserve"> во всех хозяйствах ра</w:t>
      </w:r>
      <w:r w:rsidRPr="006773B9">
        <w:rPr>
          <w:b/>
        </w:rPr>
        <w:t>й</w:t>
      </w:r>
      <w:r w:rsidRPr="006773B9">
        <w:rPr>
          <w:b/>
        </w:rPr>
        <w:t xml:space="preserve">она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45"/>
        <w:gridCol w:w="1097"/>
        <w:gridCol w:w="1411"/>
      </w:tblGrid>
      <w:tr w:rsidR="00340AC2" w:rsidTr="006638D0"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Показатели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2011 год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>.в.</w:t>
            </w:r>
          </w:p>
          <w:p w:rsidR="00340AC2" w:rsidRDefault="00340AC2" w:rsidP="006638D0">
            <w:pPr>
              <w:jc w:val="both"/>
            </w:pPr>
            <w:r>
              <w:t xml:space="preserve"> % к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 xml:space="preserve">. </w:t>
            </w:r>
          </w:p>
        </w:tc>
      </w:tr>
      <w:tr w:rsidR="00340AC2" w:rsidTr="006638D0">
        <w:tc>
          <w:tcPr>
            <w:tcW w:w="0" w:type="auto"/>
          </w:tcPr>
          <w:p w:rsidR="00340AC2" w:rsidRPr="0038249F" w:rsidRDefault="00340AC2" w:rsidP="006638D0">
            <w:pPr>
              <w:jc w:val="both"/>
              <w:rPr>
                <w:b/>
              </w:rPr>
            </w:pPr>
            <w:r w:rsidRPr="0038249F">
              <w:rPr>
                <w:b/>
              </w:rPr>
              <w:t>МЯСО ( скот и птица на убой в живом в</w:t>
            </w:r>
            <w:r w:rsidRPr="0038249F">
              <w:rPr>
                <w:b/>
              </w:rPr>
              <w:t>е</w:t>
            </w:r>
            <w:r w:rsidRPr="0038249F">
              <w:rPr>
                <w:b/>
              </w:rPr>
              <w:t>се), тонн</w:t>
            </w:r>
          </w:p>
        </w:tc>
        <w:tc>
          <w:tcPr>
            <w:tcW w:w="0" w:type="auto"/>
          </w:tcPr>
          <w:p w:rsidR="00340AC2" w:rsidRPr="0038249F" w:rsidRDefault="00340AC2" w:rsidP="006638D0">
            <w:pPr>
              <w:jc w:val="both"/>
              <w:rPr>
                <w:b/>
              </w:rPr>
            </w:pPr>
            <w:r>
              <w:rPr>
                <w:b/>
              </w:rPr>
              <w:t>11</w:t>
            </w:r>
            <w:r w:rsidR="004D21F8">
              <w:rPr>
                <w:b/>
              </w:rPr>
              <w:t>604,2</w:t>
            </w:r>
          </w:p>
        </w:tc>
        <w:tc>
          <w:tcPr>
            <w:tcW w:w="0" w:type="auto"/>
          </w:tcPr>
          <w:p w:rsidR="00340AC2" w:rsidRPr="0038249F" w:rsidRDefault="00340AC2" w:rsidP="006638D0">
            <w:pPr>
              <w:jc w:val="both"/>
              <w:rPr>
                <w:b/>
              </w:rPr>
            </w:pPr>
            <w:r>
              <w:rPr>
                <w:b/>
              </w:rPr>
              <w:t>14</w:t>
            </w:r>
            <w:r w:rsidR="004D21F8">
              <w:rPr>
                <w:b/>
              </w:rPr>
              <w:t>8,7</w:t>
            </w:r>
          </w:p>
        </w:tc>
      </w:tr>
      <w:tr w:rsidR="00340AC2" w:rsidTr="006638D0"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Сельхозорганизации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11</w:t>
            </w:r>
            <w:r w:rsidR="004D21F8">
              <w:t>334,3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1</w:t>
            </w:r>
            <w:r w:rsidR="004D21F8">
              <w:t>50,9</w:t>
            </w:r>
          </w:p>
        </w:tc>
      </w:tr>
      <w:tr w:rsidR="00340AC2" w:rsidTr="006638D0"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Хозяйства населения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2</w:t>
            </w:r>
            <w:r w:rsidR="004D21F8">
              <w:t>43,6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9</w:t>
            </w:r>
            <w:r w:rsidR="004D21F8">
              <w:t>4,1</w:t>
            </w:r>
          </w:p>
        </w:tc>
      </w:tr>
      <w:tr w:rsidR="00340AC2" w:rsidTr="006638D0"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Крестьянские хозяйство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26,3</w:t>
            </w:r>
          </w:p>
        </w:tc>
        <w:tc>
          <w:tcPr>
            <w:tcW w:w="0" w:type="auto"/>
          </w:tcPr>
          <w:p w:rsidR="00340AC2" w:rsidRDefault="004D21F8" w:rsidP="006638D0">
            <w:pPr>
              <w:jc w:val="both"/>
            </w:pPr>
            <w:r>
              <w:t>75,1</w:t>
            </w:r>
          </w:p>
        </w:tc>
      </w:tr>
      <w:tr w:rsidR="00340AC2" w:rsidTr="006638D0">
        <w:tc>
          <w:tcPr>
            <w:tcW w:w="0" w:type="auto"/>
          </w:tcPr>
          <w:p w:rsidR="00340AC2" w:rsidRPr="0038249F" w:rsidRDefault="00340AC2" w:rsidP="006638D0">
            <w:pPr>
              <w:jc w:val="both"/>
              <w:rPr>
                <w:b/>
              </w:rPr>
            </w:pPr>
            <w:r w:rsidRPr="0038249F">
              <w:rPr>
                <w:b/>
              </w:rPr>
              <w:t>МОЛОКО, тонн</w:t>
            </w:r>
          </w:p>
        </w:tc>
        <w:tc>
          <w:tcPr>
            <w:tcW w:w="0" w:type="auto"/>
          </w:tcPr>
          <w:p w:rsidR="00340AC2" w:rsidRPr="0038249F" w:rsidRDefault="00340AC2" w:rsidP="006638D0">
            <w:pPr>
              <w:jc w:val="both"/>
              <w:rPr>
                <w:b/>
              </w:rPr>
            </w:pPr>
            <w:r>
              <w:rPr>
                <w:b/>
              </w:rPr>
              <w:t>29</w:t>
            </w:r>
            <w:r w:rsidR="004D21F8">
              <w:rPr>
                <w:b/>
              </w:rPr>
              <w:t>98,3</w:t>
            </w:r>
          </w:p>
        </w:tc>
        <w:tc>
          <w:tcPr>
            <w:tcW w:w="0" w:type="auto"/>
          </w:tcPr>
          <w:p w:rsidR="00340AC2" w:rsidRPr="0038249F" w:rsidRDefault="00340AC2" w:rsidP="006638D0">
            <w:pPr>
              <w:jc w:val="both"/>
              <w:rPr>
                <w:b/>
              </w:rPr>
            </w:pPr>
            <w:r>
              <w:rPr>
                <w:b/>
              </w:rPr>
              <w:t>10</w:t>
            </w:r>
            <w:r w:rsidR="004D21F8">
              <w:rPr>
                <w:b/>
              </w:rPr>
              <w:t>5,2</w:t>
            </w:r>
            <w:r>
              <w:rPr>
                <w:b/>
              </w:rPr>
              <w:t>%</w:t>
            </w:r>
          </w:p>
        </w:tc>
      </w:tr>
      <w:tr w:rsidR="00340AC2" w:rsidTr="006638D0"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Сельхозорганизации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1268,3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102,3%</w:t>
            </w:r>
          </w:p>
        </w:tc>
      </w:tr>
      <w:tr w:rsidR="00340AC2" w:rsidTr="006638D0"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Хозяйства населения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1</w:t>
            </w:r>
            <w:r w:rsidR="004D21F8">
              <w:t>532,0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10</w:t>
            </w:r>
            <w:r w:rsidR="004D21F8">
              <w:t>2,3</w:t>
            </w:r>
            <w:r>
              <w:t>%</w:t>
            </w:r>
          </w:p>
        </w:tc>
      </w:tr>
      <w:tr w:rsidR="00340AC2" w:rsidTr="006638D0"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Крестьянские хозяйства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198,</w:t>
            </w:r>
            <w:r w:rsidR="004D21F8">
              <w:t>0</w:t>
            </w:r>
          </w:p>
        </w:tc>
        <w:tc>
          <w:tcPr>
            <w:tcW w:w="0" w:type="auto"/>
          </w:tcPr>
          <w:p w:rsidR="00340AC2" w:rsidRDefault="00340AC2" w:rsidP="006638D0">
            <w:pPr>
              <w:jc w:val="both"/>
            </w:pPr>
            <w:r>
              <w:t>175,</w:t>
            </w:r>
            <w:r w:rsidR="004D21F8">
              <w:t>2</w:t>
            </w:r>
            <w:r>
              <w:t>%</w:t>
            </w:r>
          </w:p>
        </w:tc>
      </w:tr>
    </w:tbl>
    <w:p w:rsidR="00AE1604" w:rsidRDefault="00AE1604" w:rsidP="00BA6E19">
      <w:pPr>
        <w:jc w:val="both"/>
        <w:rPr>
          <w:b/>
        </w:rPr>
      </w:pPr>
    </w:p>
    <w:p w:rsidR="00AE1604" w:rsidRPr="00241FA6" w:rsidRDefault="00AE1604" w:rsidP="00BA6E19">
      <w:pPr>
        <w:keepNext/>
        <w:keepLines/>
        <w:spacing w:before="240" w:after="240"/>
        <w:jc w:val="center"/>
        <w:rPr>
          <w:b/>
          <w:sz w:val="28"/>
          <w:szCs w:val="28"/>
        </w:rPr>
      </w:pPr>
      <w:r w:rsidRPr="007231D4">
        <w:rPr>
          <w:b/>
          <w:sz w:val="28"/>
          <w:szCs w:val="28"/>
        </w:rPr>
        <w:t xml:space="preserve">Индексы увеличения (снижения) производства основных видов </w:t>
      </w:r>
      <w:r w:rsidRPr="007231D4">
        <w:rPr>
          <w:b/>
          <w:sz w:val="28"/>
          <w:szCs w:val="28"/>
        </w:rPr>
        <w:br/>
        <w:t>сельскохозяйственной продукции</w:t>
      </w:r>
    </w:p>
    <w:p w:rsidR="00AE1604" w:rsidRDefault="00F24626" w:rsidP="00BA6E19">
      <w:pPr>
        <w:rPr>
          <w:b/>
        </w:rPr>
      </w:pPr>
      <w:r>
        <w:rPr>
          <w:noProof/>
        </w:rPr>
        <w:drawing>
          <wp:inline distT="0" distB="0" distL="0" distR="0">
            <wp:extent cx="6536055" cy="3547745"/>
            <wp:effectExtent l="0" t="0" r="0" b="0"/>
            <wp:docPr id="6" name="Объект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E1604" w:rsidRDefault="00AE1604" w:rsidP="00BA6E19">
      <w:pPr>
        <w:jc w:val="both"/>
        <w:rPr>
          <w:b/>
        </w:rPr>
      </w:pPr>
      <w:r w:rsidRPr="00E96386">
        <w:rPr>
          <w:b/>
        </w:rPr>
        <w:t xml:space="preserve">Поголовье скота </w:t>
      </w:r>
      <w:r>
        <w:rPr>
          <w:b/>
        </w:rPr>
        <w:t>за  2011</w:t>
      </w:r>
      <w:r w:rsidRPr="00E96386">
        <w:rPr>
          <w:b/>
        </w:rPr>
        <w:t xml:space="preserve"> год.</w:t>
      </w:r>
      <w:r>
        <w:rPr>
          <w:b/>
        </w:rPr>
        <w:t xml:space="preserve"> </w:t>
      </w:r>
    </w:p>
    <w:p w:rsidR="00AE1604" w:rsidRDefault="00AE1604" w:rsidP="00BA6E19">
      <w:pPr>
        <w:jc w:val="both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71"/>
        <w:gridCol w:w="828"/>
        <w:gridCol w:w="1874"/>
      </w:tblGrid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Показатели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Голов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В % к 2010 г</w:t>
            </w:r>
            <w:r>
              <w:t>о</w:t>
            </w:r>
            <w:r>
              <w:t>ду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Крупный рогатый скот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1401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10</w:t>
            </w:r>
            <w:r w:rsidR="004F3EBB">
              <w:t>2,1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В т.ч. коровы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748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105</w:t>
            </w:r>
            <w:r w:rsidR="004F3EBB">
              <w:t>,8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Свиньи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783</w:t>
            </w:r>
          </w:p>
        </w:tc>
        <w:tc>
          <w:tcPr>
            <w:tcW w:w="0" w:type="auto"/>
          </w:tcPr>
          <w:p w:rsidR="00AE1604" w:rsidRDefault="004F3EBB" w:rsidP="00BA6E19">
            <w:pPr>
              <w:jc w:val="both"/>
            </w:pPr>
            <w:r>
              <w:t>95,8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Овцы и козы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900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</w:t>
            </w:r>
            <w:r w:rsidR="004F3EBB">
              <w:t>0</w:t>
            </w:r>
            <w:r>
              <w:t>4</w:t>
            </w:r>
            <w:r w:rsidR="004F3EBB">
              <w:t>,9</w:t>
            </w:r>
          </w:p>
        </w:tc>
      </w:tr>
    </w:tbl>
    <w:p w:rsidR="00AE1604" w:rsidRDefault="00AE1604" w:rsidP="00BA6E19">
      <w:pPr>
        <w:jc w:val="both"/>
      </w:pPr>
      <w:r>
        <w:t xml:space="preserve"> </w:t>
      </w:r>
    </w:p>
    <w:p w:rsidR="00AE1604" w:rsidRDefault="00AE1604" w:rsidP="00BA6E19">
      <w:pPr>
        <w:ind w:firstLine="708"/>
        <w:jc w:val="both"/>
      </w:pPr>
      <w:r>
        <w:t>Увеличилось производство молока, хотя продуктивность в коллективных хозя</w:t>
      </w:r>
      <w:r>
        <w:t>й</w:t>
      </w:r>
      <w:r>
        <w:t>ствах не высока. Надой на 1 фуражную корову составил в отчётном п</w:t>
      </w:r>
      <w:r>
        <w:t>е</w:t>
      </w:r>
      <w:r>
        <w:t xml:space="preserve">риоде </w:t>
      </w:r>
      <w:smartTag w:uri="urn:schemas-microsoft-com:office:smarttags" w:element="metricconverter">
        <w:smartTagPr>
          <w:attr w:name="ProductID" w:val="3013 кг"/>
        </w:smartTagPr>
        <w:r>
          <w:t>3013 кг</w:t>
        </w:r>
      </w:smartTag>
      <w:r>
        <w:t xml:space="preserve"> или 101,1% к уровню прошлого года, в т.ч.</w:t>
      </w:r>
    </w:p>
    <w:p w:rsidR="00AE1604" w:rsidRDefault="00AE1604" w:rsidP="00BA6E19">
      <w:pPr>
        <w:jc w:val="both"/>
      </w:pPr>
      <w:r>
        <w:t xml:space="preserve">СПК «Валдайский - 3338 кг. (103,8% к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</w:t>
      </w:r>
    </w:p>
    <w:p w:rsidR="00AE1604" w:rsidRDefault="00AE1604" w:rsidP="00BA6E19">
      <w:pPr>
        <w:jc w:val="both"/>
      </w:pPr>
      <w:r>
        <w:t xml:space="preserve">СПК «Любница» - 3168  кг. (94.0% к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</w:t>
      </w:r>
    </w:p>
    <w:p w:rsidR="00AE1604" w:rsidRDefault="00AE1604" w:rsidP="00BA6E19">
      <w:pPr>
        <w:jc w:val="both"/>
      </w:pPr>
      <w:r>
        <w:t xml:space="preserve">с/з «Красная звезда» - 2476 кг. (92,8% к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</w:t>
      </w:r>
    </w:p>
    <w:p w:rsidR="00AE1604" w:rsidRDefault="00AE1604" w:rsidP="00BA6E19">
      <w:pPr>
        <w:jc w:val="both"/>
      </w:pPr>
      <w:r>
        <w:tab/>
        <w:t xml:space="preserve">По итогам работы за 2011 год 3 сельскохозяйственных предприятия убыточны, 2 имеют положительный финансовый результат. В октябре т.г. </w:t>
      </w:r>
      <w:r w:rsidR="001B123E">
        <w:t>стало работать</w:t>
      </w:r>
      <w:r>
        <w:t xml:space="preserve"> Обособле</w:t>
      </w:r>
      <w:r>
        <w:t>н</w:t>
      </w:r>
      <w:r>
        <w:t>ное подразделение «Племптицереппродуктор» ООО «Белгранкорм-Великий Новг</w:t>
      </w:r>
      <w:r>
        <w:t>о</w:t>
      </w:r>
      <w:r w:rsidR="00C55518">
        <w:t>род» в д. Карнаухово, мощность которого</w:t>
      </w:r>
      <w:r w:rsidR="00F5533A">
        <w:t xml:space="preserve"> составляет </w:t>
      </w:r>
      <w:r w:rsidR="00C55518">
        <w:t xml:space="preserve"> 59 млн.яиц в год.</w:t>
      </w:r>
    </w:p>
    <w:p w:rsidR="00AE1604" w:rsidRDefault="00AE1604" w:rsidP="00BA6E19">
      <w:pPr>
        <w:jc w:val="both"/>
      </w:pPr>
      <w:r>
        <w:tab/>
        <w:t>В районе работал один пункт по закупке молока в индивидуальном секторе. Заку</w:t>
      </w:r>
      <w:r>
        <w:t>п</w:t>
      </w:r>
      <w:r>
        <w:t>лено 11,4 тонны молока. Средняя закупочная цена составила 10 руб. за литр.</w:t>
      </w:r>
    </w:p>
    <w:p w:rsidR="00AE1604" w:rsidRDefault="00AE1604" w:rsidP="00BA6E19">
      <w:pPr>
        <w:jc w:val="both"/>
      </w:pPr>
      <w:r>
        <w:tab/>
        <w:t>Переработкой молока и выпуском молочной продукции занимается Лю</w:t>
      </w:r>
      <w:r>
        <w:t>б</w:t>
      </w:r>
      <w:r>
        <w:t xml:space="preserve">ницкий молочный завод. Переработано 575 тонн молока ( 87,5 % к </w:t>
      </w:r>
      <w:smartTag w:uri="urn:schemas-microsoft-com:office:smarttags" w:element="metricconverter">
        <w:smartTagPr>
          <w:attr w:name="ProductID" w:val="2010 г"/>
        </w:smartTagPr>
        <w:r>
          <w:t>2010 г</w:t>
        </w:r>
      </w:smartTag>
      <w:r>
        <w:t>.). Выпущено 145 то</w:t>
      </w:r>
      <w:r>
        <w:t>н</w:t>
      </w:r>
      <w:r>
        <w:t>н пастеризованного молока (84%), сметаны 15 тонн ( 100%), творога 54 тонны ( 87%), масла сливочного 9 тонны (113%). Продукция реализ</w:t>
      </w:r>
      <w:r w:rsidR="00F5533A">
        <w:t>уется</w:t>
      </w:r>
      <w:r>
        <w:t xml:space="preserve"> в </w:t>
      </w:r>
      <w:r w:rsidR="00614BE6">
        <w:t>организаци</w:t>
      </w:r>
      <w:r w:rsidR="00F5533A">
        <w:t>ях</w:t>
      </w:r>
      <w:r w:rsidR="00614BE6">
        <w:t xml:space="preserve"> </w:t>
      </w:r>
      <w:r>
        <w:t>бюджетн</w:t>
      </w:r>
      <w:r w:rsidR="00614BE6">
        <w:t>ой</w:t>
      </w:r>
      <w:r>
        <w:t xml:space="preserve"> сфер</w:t>
      </w:r>
      <w:r w:rsidR="00614BE6">
        <w:t>ы</w:t>
      </w:r>
      <w:r>
        <w:t xml:space="preserve"> Валдайского и Демянского районов, </w:t>
      </w:r>
      <w:r w:rsidR="00614BE6">
        <w:t>в</w:t>
      </w:r>
      <w:r>
        <w:t xml:space="preserve"> стационарном магазине г.Валдай, а так же на ры</w:t>
      </w:r>
      <w:r>
        <w:t>н</w:t>
      </w:r>
      <w:r>
        <w:t>ках в г.Великий Новгород</w:t>
      </w:r>
    </w:p>
    <w:p w:rsidR="00AE1604" w:rsidRDefault="00AE1604" w:rsidP="00BA6E19">
      <w:pPr>
        <w:jc w:val="both"/>
        <w:rPr>
          <w:b/>
        </w:rPr>
      </w:pPr>
    </w:p>
    <w:p w:rsidR="00AE1604" w:rsidRDefault="00AE1604" w:rsidP="00BA6E19">
      <w:pPr>
        <w:jc w:val="both"/>
      </w:pPr>
      <w:r w:rsidRPr="006773B9">
        <w:rPr>
          <w:b/>
        </w:rPr>
        <w:lastRenderedPageBreak/>
        <w:t>Производство сельскохозяйственной продукции в подсобных хозяйствах предпри</w:t>
      </w:r>
      <w:r w:rsidRPr="006773B9">
        <w:rPr>
          <w:b/>
        </w:rPr>
        <w:t>я</w:t>
      </w:r>
      <w:r w:rsidRPr="006773B9">
        <w:rPr>
          <w:b/>
        </w:rPr>
        <w:t>тий и организаций.</w:t>
      </w:r>
    </w:p>
    <w:p w:rsidR="00AE1604" w:rsidRDefault="00AE1604" w:rsidP="00BA6E19">
      <w:pPr>
        <w:jc w:val="right"/>
      </w:pPr>
      <w:r>
        <w:t xml:space="preserve">                                                     центнер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8"/>
        <w:gridCol w:w="821"/>
        <w:gridCol w:w="945"/>
        <w:gridCol w:w="1232"/>
        <w:gridCol w:w="862"/>
        <w:gridCol w:w="862"/>
        <w:gridCol w:w="1191"/>
      </w:tblGrid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Подсобные хозяйства</w:t>
            </w:r>
          </w:p>
        </w:tc>
        <w:tc>
          <w:tcPr>
            <w:tcW w:w="0" w:type="auto"/>
            <w:gridSpan w:val="3"/>
          </w:tcPr>
          <w:p w:rsidR="00AE1604" w:rsidRDefault="00AE1604" w:rsidP="00BA6E19">
            <w:pPr>
              <w:jc w:val="both"/>
            </w:pPr>
            <w:r>
              <w:t>Молоко</w:t>
            </w:r>
          </w:p>
        </w:tc>
        <w:tc>
          <w:tcPr>
            <w:tcW w:w="0" w:type="auto"/>
            <w:gridSpan w:val="3"/>
          </w:tcPr>
          <w:p w:rsidR="00AE1604" w:rsidRDefault="00AE1604" w:rsidP="00BA6E19">
            <w:pPr>
              <w:jc w:val="both"/>
            </w:pPr>
            <w:r>
              <w:t>Мясо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2011 год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2010 год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в % к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2011 год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2010 год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smartTag w:uri="urn:schemas-microsoft-com:office:smarttags" w:element="metricconverter">
              <w:smartTagPr>
                <w:attr w:name="ProductID" w:val="2011 г"/>
              </w:smartTagPr>
              <w:r>
                <w:t>2011 г</w:t>
              </w:r>
            </w:smartTag>
            <w:r>
              <w:t xml:space="preserve">. в % к </w:t>
            </w:r>
            <w:smartTag w:uri="urn:schemas-microsoft-com:office:smarttags" w:element="metricconverter">
              <w:smartTagPr>
                <w:attr w:name="ProductID" w:val="2010 г"/>
              </w:smartTagPr>
              <w:r>
                <w:t>2010 г</w:t>
              </w:r>
            </w:smartTag>
            <w:r>
              <w:t>.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ГОУЗ «Валдайская психоневр</w:t>
            </w:r>
            <w:r>
              <w:t>о</w:t>
            </w:r>
            <w:r>
              <w:t>логическая бол</w:t>
            </w:r>
            <w:r>
              <w:t>ь</w:t>
            </w:r>
            <w:r>
              <w:t>ница №1»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751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336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223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44,6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18,2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245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ФГУ ИК-4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98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93,5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105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198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159,3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124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ПНИ «Приозёрный»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557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545,7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102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46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36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128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ПНИ «Добывалово»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194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231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84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23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24,4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94</w:t>
            </w: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Подворье «Быково»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998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82,5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</w:p>
        </w:tc>
      </w:tr>
      <w:tr w:rsidR="00AE1604"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Подворье Иверского мон</w:t>
            </w:r>
            <w:r>
              <w:t>а</w:t>
            </w:r>
            <w:r>
              <w:t>стыря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292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  <w:r>
              <w:t>25</w:t>
            </w: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</w:p>
        </w:tc>
        <w:tc>
          <w:tcPr>
            <w:tcW w:w="0" w:type="auto"/>
          </w:tcPr>
          <w:p w:rsidR="00AE1604" w:rsidRDefault="00AE1604" w:rsidP="00BA6E19">
            <w:pPr>
              <w:jc w:val="both"/>
            </w:pPr>
          </w:p>
        </w:tc>
      </w:tr>
      <w:tr w:rsidR="00AE1604">
        <w:tc>
          <w:tcPr>
            <w:tcW w:w="0" w:type="auto"/>
          </w:tcPr>
          <w:p w:rsidR="00AE1604" w:rsidRPr="00F104DA" w:rsidRDefault="00AE1604" w:rsidP="00BA6E19">
            <w:pPr>
              <w:jc w:val="both"/>
              <w:rPr>
                <w:b/>
              </w:rPr>
            </w:pPr>
            <w:r w:rsidRPr="00F104DA">
              <w:rPr>
                <w:b/>
              </w:rPr>
              <w:t>ВСЕГО</w:t>
            </w:r>
          </w:p>
        </w:tc>
        <w:tc>
          <w:tcPr>
            <w:tcW w:w="0" w:type="auto"/>
          </w:tcPr>
          <w:p w:rsidR="00AE1604" w:rsidRPr="00F104DA" w:rsidRDefault="00AE1604" w:rsidP="00BA6E19">
            <w:pPr>
              <w:jc w:val="both"/>
              <w:rPr>
                <w:b/>
              </w:rPr>
            </w:pPr>
            <w:r>
              <w:rPr>
                <w:b/>
              </w:rPr>
              <w:t>2890</w:t>
            </w:r>
          </w:p>
        </w:tc>
        <w:tc>
          <w:tcPr>
            <w:tcW w:w="0" w:type="auto"/>
          </w:tcPr>
          <w:p w:rsidR="00AE1604" w:rsidRPr="00F104DA" w:rsidRDefault="00AE1604" w:rsidP="00BA6E19">
            <w:pPr>
              <w:jc w:val="both"/>
              <w:rPr>
                <w:b/>
              </w:rPr>
            </w:pPr>
            <w:r>
              <w:rPr>
                <w:b/>
              </w:rPr>
              <w:t>1206,2</w:t>
            </w:r>
          </w:p>
        </w:tc>
        <w:tc>
          <w:tcPr>
            <w:tcW w:w="0" w:type="auto"/>
          </w:tcPr>
          <w:p w:rsidR="00AE1604" w:rsidRPr="00F104DA" w:rsidRDefault="00AE1604" w:rsidP="00BA6E19">
            <w:pPr>
              <w:jc w:val="both"/>
              <w:rPr>
                <w:b/>
              </w:rPr>
            </w:pPr>
            <w:r>
              <w:rPr>
                <w:b/>
              </w:rPr>
              <w:t>239,5</w:t>
            </w:r>
          </w:p>
        </w:tc>
        <w:tc>
          <w:tcPr>
            <w:tcW w:w="0" w:type="auto"/>
          </w:tcPr>
          <w:p w:rsidR="00AE1604" w:rsidRPr="00F104DA" w:rsidRDefault="00AE1604" w:rsidP="00BA6E19">
            <w:pPr>
              <w:jc w:val="both"/>
              <w:rPr>
                <w:b/>
              </w:rPr>
            </w:pPr>
            <w:r>
              <w:rPr>
                <w:b/>
              </w:rPr>
              <w:t>419,1</w:t>
            </w:r>
          </w:p>
        </w:tc>
        <w:tc>
          <w:tcPr>
            <w:tcW w:w="0" w:type="auto"/>
          </w:tcPr>
          <w:p w:rsidR="00AE1604" w:rsidRPr="00F104DA" w:rsidRDefault="00AE1604" w:rsidP="00BA6E19">
            <w:pPr>
              <w:jc w:val="both"/>
              <w:rPr>
                <w:b/>
              </w:rPr>
            </w:pPr>
            <w:r>
              <w:rPr>
                <w:b/>
              </w:rPr>
              <w:t>237,9</w:t>
            </w:r>
          </w:p>
        </w:tc>
        <w:tc>
          <w:tcPr>
            <w:tcW w:w="0" w:type="auto"/>
          </w:tcPr>
          <w:p w:rsidR="00AE1604" w:rsidRPr="00F104DA" w:rsidRDefault="00AE1604" w:rsidP="00BA6E19">
            <w:pPr>
              <w:jc w:val="both"/>
              <w:rPr>
                <w:b/>
              </w:rPr>
            </w:pPr>
            <w:r>
              <w:rPr>
                <w:b/>
              </w:rPr>
              <w:t>176</w:t>
            </w:r>
          </w:p>
        </w:tc>
      </w:tr>
    </w:tbl>
    <w:p w:rsidR="00AE1604" w:rsidRDefault="00AE1604" w:rsidP="00BA6E19">
      <w:pPr>
        <w:jc w:val="both"/>
      </w:pPr>
      <w:r>
        <w:tab/>
        <w:t xml:space="preserve"> Вся продукция, произведённая в подсобных хозяйствах, использована на со</w:t>
      </w:r>
      <w:r>
        <w:t>б</w:t>
      </w:r>
      <w:r>
        <w:t>ственные нужды учреждений.</w:t>
      </w:r>
    </w:p>
    <w:p w:rsidR="00AE1604" w:rsidRDefault="00AE1604" w:rsidP="00BA6E19">
      <w:pPr>
        <w:jc w:val="both"/>
      </w:pPr>
      <w:r>
        <w:tab/>
        <w:t xml:space="preserve">В 2011 году открылись несколько крестьянских (фермерских) хозяйств. Среди наиболее активных можно выделить молодых фермеров Широкова И.Н. и Алексееву Е.В. </w:t>
      </w:r>
    </w:p>
    <w:p w:rsidR="00AE1604" w:rsidRDefault="00AE1604" w:rsidP="00BA6E19">
      <w:pPr>
        <w:jc w:val="both"/>
      </w:pPr>
      <w:r>
        <w:tab/>
        <w:t>В целях реализации областной целевой программы «Развитие потребительской к</w:t>
      </w:r>
      <w:r>
        <w:t>о</w:t>
      </w:r>
      <w:r>
        <w:t>операции в Новгородской области на 2009-2012 годы» в районе за 2011 года на откорм в личные подсобные хозяйства поставлено 924 головы,  (в 2010 году – 630 голов). Произв</w:t>
      </w:r>
      <w:r>
        <w:t>е</w:t>
      </w:r>
      <w:r>
        <w:t>дено и ре</w:t>
      </w:r>
      <w:r>
        <w:t>а</w:t>
      </w:r>
      <w:r>
        <w:t>лизовано мяса 73 тонны (134 % к 2010 году).</w:t>
      </w:r>
    </w:p>
    <w:p w:rsidR="00D55FB0" w:rsidRDefault="00AE1604" w:rsidP="00BA6E19">
      <w:pPr>
        <w:jc w:val="both"/>
      </w:pPr>
      <w:r>
        <w:tab/>
        <w:t>В течение 2011 года в рамках реализации областной целевой программы «Развитие агропромышленного комплекса Новгородской области на 2008 – 2012 годы» предприят</w:t>
      </w:r>
      <w:r>
        <w:t>и</w:t>
      </w:r>
      <w:r>
        <w:t>ям, организациям, крестьянским (фермерским) и личным подсобным хозяйствам граждан Валдайского муниципального района выплачено субсидий на сумму 3</w:t>
      </w:r>
      <w:r w:rsidR="00D55FB0">
        <w:t>,5</w:t>
      </w:r>
      <w:r>
        <w:t xml:space="preserve"> млн. руб</w:t>
      </w:r>
      <w:r w:rsidR="00D55FB0">
        <w:t>.</w:t>
      </w:r>
      <w:r>
        <w:t>, в том числе из средств федерального бюджета 1</w:t>
      </w:r>
      <w:r w:rsidR="00D55FB0">
        <w:t>,</w:t>
      </w:r>
      <w:r>
        <w:t>3</w:t>
      </w:r>
      <w:r w:rsidR="00D55FB0">
        <w:t xml:space="preserve"> млн.руб.</w:t>
      </w:r>
      <w:r>
        <w:t xml:space="preserve"> и областного 2</w:t>
      </w:r>
      <w:r w:rsidR="00D55FB0">
        <w:t>,2 млн.</w:t>
      </w:r>
      <w:r>
        <w:t xml:space="preserve"> руб</w:t>
      </w:r>
      <w:r w:rsidR="00D55FB0">
        <w:t>.</w:t>
      </w:r>
      <w:r>
        <w:t>. В чи</w:t>
      </w:r>
      <w:r>
        <w:t>с</w:t>
      </w:r>
      <w:r>
        <w:t xml:space="preserve">ле наиболее значимых субсидии </w:t>
      </w:r>
      <w:r w:rsidR="00D55FB0">
        <w:t xml:space="preserve"> :</w:t>
      </w:r>
    </w:p>
    <w:p w:rsidR="00D55FB0" w:rsidRDefault="00D55FB0" w:rsidP="00BA6E19">
      <w:pPr>
        <w:jc w:val="both"/>
      </w:pPr>
      <w:r>
        <w:t xml:space="preserve">■ </w:t>
      </w:r>
      <w:r w:rsidR="00AE1604">
        <w:t>на строительство и приобретение жилья гражданам в сельской местности 2</w:t>
      </w:r>
      <w:r>
        <w:t>,</w:t>
      </w:r>
      <w:r w:rsidR="00AE1604">
        <w:t>2</w:t>
      </w:r>
      <w:r>
        <w:t xml:space="preserve"> млн.</w:t>
      </w:r>
      <w:r w:rsidR="00AE1604">
        <w:t>руб</w:t>
      </w:r>
      <w:r>
        <w:t>.</w:t>
      </w:r>
      <w:r w:rsidR="00AE1604">
        <w:t xml:space="preserve">, </w:t>
      </w:r>
    </w:p>
    <w:p w:rsidR="00D55FB0" w:rsidRDefault="00C14222" w:rsidP="00BA6E19">
      <w:pPr>
        <w:jc w:val="both"/>
      </w:pPr>
      <w:r>
        <w:t>■</w:t>
      </w:r>
      <w:r w:rsidR="00AE1604">
        <w:t xml:space="preserve"> на приобретение машин и оборудования для молочного скотоводства, переработки м</w:t>
      </w:r>
      <w:r w:rsidR="00AE1604">
        <w:t>о</w:t>
      </w:r>
      <w:r w:rsidR="00AE1604">
        <w:t xml:space="preserve">лока и кормопроизводства </w:t>
      </w:r>
      <w:r w:rsidR="00D55FB0">
        <w:t>0,2</w:t>
      </w:r>
      <w:r w:rsidR="00AE1604">
        <w:t xml:space="preserve"> </w:t>
      </w:r>
      <w:r w:rsidR="00D55FB0">
        <w:t>млн.</w:t>
      </w:r>
      <w:r w:rsidR="00AE1604">
        <w:t>руб.,</w:t>
      </w:r>
    </w:p>
    <w:p w:rsidR="00D55FB0" w:rsidRDefault="00C14222" w:rsidP="00BA6E19">
      <w:pPr>
        <w:jc w:val="both"/>
      </w:pPr>
      <w:r>
        <w:t xml:space="preserve">■ </w:t>
      </w:r>
      <w:r w:rsidR="00AE1604">
        <w:t>на содержание маточного поголовья кру</w:t>
      </w:r>
      <w:r w:rsidR="00AE1604">
        <w:t>п</w:t>
      </w:r>
      <w:r w:rsidR="00AE1604">
        <w:t xml:space="preserve">ного рогатого скота молочных пород </w:t>
      </w:r>
      <w:r w:rsidR="00D55FB0">
        <w:t>0,3 млн.</w:t>
      </w:r>
      <w:r w:rsidR="00AE1604">
        <w:t xml:space="preserve"> ру</w:t>
      </w:r>
      <w:r w:rsidR="00D55FB0">
        <w:t>б.,</w:t>
      </w:r>
    </w:p>
    <w:p w:rsidR="00AE1604" w:rsidRDefault="00C14222" w:rsidP="00BA6E19">
      <w:pPr>
        <w:jc w:val="both"/>
      </w:pPr>
      <w:r>
        <w:t xml:space="preserve">■ </w:t>
      </w:r>
      <w:r w:rsidR="00AE1604">
        <w:t>на приобретение минерал</w:t>
      </w:r>
      <w:r w:rsidR="00AE1604">
        <w:t>ь</w:t>
      </w:r>
      <w:r w:rsidR="00AE1604">
        <w:t xml:space="preserve">ных удобрений </w:t>
      </w:r>
      <w:r w:rsidR="00D55FB0">
        <w:t>0,2 млн.</w:t>
      </w:r>
      <w:r w:rsidR="00AE1604">
        <w:t xml:space="preserve">руб. </w:t>
      </w:r>
    </w:p>
    <w:p w:rsidR="00BE1C69" w:rsidRDefault="00BE1C69" w:rsidP="00285F57">
      <w:pPr>
        <w:jc w:val="both"/>
      </w:pPr>
      <w:r>
        <w:tab/>
      </w:r>
    </w:p>
    <w:p w:rsidR="003729AA" w:rsidRDefault="003729AA" w:rsidP="00FE0975">
      <w:pPr>
        <w:jc w:val="center"/>
        <w:rPr>
          <w:b/>
        </w:rPr>
      </w:pPr>
      <w:r w:rsidRPr="003729AA">
        <w:rPr>
          <w:b/>
        </w:rPr>
        <w:t>ПОТРЕБИТЕЛЬСКИЙ РЫНОК.</w:t>
      </w:r>
    </w:p>
    <w:p w:rsidR="004B234B" w:rsidRDefault="004B234B" w:rsidP="00285F57">
      <w:pPr>
        <w:jc w:val="both"/>
        <w:rPr>
          <w:b/>
        </w:rPr>
      </w:pPr>
    </w:p>
    <w:p w:rsidR="000219BB" w:rsidRDefault="003729AA" w:rsidP="00285F57">
      <w:pPr>
        <w:jc w:val="both"/>
      </w:pPr>
      <w:r>
        <w:tab/>
      </w:r>
      <w:r w:rsidR="00F77665">
        <w:t xml:space="preserve">За </w:t>
      </w:r>
      <w:r>
        <w:t>201</w:t>
      </w:r>
      <w:r w:rsidR="00A07488">
        <w:t>1</w:t>
      </w:r>
      <w:r>
        <w:t xml:space="preserve"> год </w:t>
      </w:r>
      <w:r w:rsidR="00725010">
        <w:t xml:space="preserve"> </w:t>
      </w:r>
      <w:r>
        <w:t>оборот розничной торговли района состави</w:t>
      </w:r>
      <w:r w:rsidR="00F77665">
        <w:t>л</w:t>
      </w:r>
      <w:r>
        <w:t xml:space="preserve"> </w:t>
      </w:r>
      <w:r w:rsidR="006E0960">
        <w:t>2</w:t>
      </w:r>
      <w:r w:rsidR="003711AF">
        <w:t>582,4</w:t>
      </w:r>
      <w:r w:rsidR="00F77665">
        <w:t xml:space="preserve"> </w:t>
      </w:r>
      <w:r>
        <w:t>млн.руб</w:t>
      </w:r>
      <w:r w:rsidR="00995C10">
        <w:t>.</w:t>
      </w:r>
      <w:r>
        <w:t xml:space="preserve"> и по сравнению с 20</w:t>
      </w:r>
      <w:r w:rsidR="000219BB">
        <w:t>10 год</w:t>
      </w:r>
      <w:r>
        <w:t>ом увеличи</w:t>
      </w:r>
      <w:r w:rsidR="00F77665">
        <w:t>л</w:t>
      </w:r>
      <w:r>
        <w:t>ся в сопоставимой оценке на</w:t>
      </w:r>
      <w:r w:rsidR="00725010">
        <w:t xml:space="preserve"> </w:t>
      </w:r>
      <w:r w:rsidR="006E0960">
        <w:t>7,0</w:t>
      </w:r>
      <w:r w:rsidR="007A10D5">
        <w:t xml:space="preserve"> </w:t>
      </w:r>
      <w:r>
        <w:t>%</w:t>
      </w:r>
      <w:r w:rsidR="00501768">
        <w:t xml:space="preserve">. </w:t>
      </w:r>
      <w:r w:rsidR="00F77665">
        <w:t>О</w:t>
      </w:r>
      <w:r w:rsidR="00501768">
        <w:t>борот на душу населения состави</w:t>
      </w:r>
      <w:r w:rsidR="00F77665">
        <w:t>л</w:t>
      </w:r>
      <w:r w:rsidR="00501768">
        <w:t xml:space="preserve"> </w:t>
      </w:r>
      <w:r w:rsidR="003711AF">
        <w:t>9</w:t>
      </w:r>
      <w:r w:rsidR="006E0960">
        <w:t>8</w:t>
      </w:r>
      <w:r w:rsidR="003711AF">
        <w:t>,</w:t>
      </w:r>
      <w:r w:rsidR="006E0960">
        <w:t>7</w:t>
      </w:r>
      <w:r w:rsidR="00501768">
        <w:t xml:space="preserve"> тыс.руб.</w:t>
      </w:r>
      <w:r w:rsidR="00BF1900">
        <w:t>(10</w:t>
      </w:r>
      <w:r w:rsidR="006E0960">
        <w:t>8,</w:t>
      </w:r>
      <w:r w:rsidR="003711AF">
        <w:t>7</w:t>
      </w:r>
      <w:r w:rsidR="00F77665">
        <w:t xml:space="preserve"> </w:t>
      </w:r>
      <w:r w:rsidR="00BF1900">
        <w:t>%), по области</w:t>
      </w:r>
      <w:r w:rsidR="005B1EF3">
        <w:t xml:space="preserve"> </w:t>
      </w:r>
      <w:r w:rsidR="009E48E0">
        <w:t>–</w:t>
      </w:r>
      <w:r w:rsidR="00BF1900">
        <w:t xml:space="preserve"> </w:t>
      </w:r>
      <w:r w:rsidR="003711AF">
        <w:t>107,3</w:t>
      </w:r>
      <w:r w:rsidR="00BF1900">
        <w:t xml:space="preserve"> тыс. руб. (10</w:t>
      </w:r>
      <w:r w:rsidR="003711AF">
        <w:t>6,6</w:t>
      </w:r>
      <w:r w:rsidR="005B1EF3">
        <w:t xml:space="preserve"> </w:t>
      </w:r>
      <w:r w:rsidR="00BF1900">
        <w:t>%)</w:t>
      </w:r>
    </w:p>
    <w:p w:rsidR="00501768" w:rsidRPr="009D69B6" w:rsidRDefault="00501768" w:rsidP="00285F57">
      <w:pPr>
        <w:jc w:val="both"/>
      </w:pPr>
      <w:r>
        <w:tab/>
        <w:t>Положение на потребительском рынке района в течение отчётного периода остав</w:t>
      </w:r>
      <w:r>
        <w:t>а</w:t>
      </w:r>
      <w:r>
        <w:t>лось стабильным и характеризовалось высоким уровнем товарной насыщенности. В пр</w:t>
      </w:r>
      <w:r>
        <w:t>о</w:t>
      </w:r>
      <w:r>
        <w:t>даже имелся широкий ассортимент пр</w:t>
      </w:r>
      <w:r>
        <w:t>о</w:t>
      </w:r>
      <w:r>
        <w:t>довольственных и непродовольственных товаров. Остаётся стабильным и состояние товарных запасов. Потребительский рынок района п</w:t>
      </w:r>
      <w:r>
        <w:t>о</w:t>
      </w:r>
      <w:r>
        <w:t>лучает дальнейшее развитие, повышается уровень торгового обслуживания.</w:t>
      </w:r>
      <w:r w:rsidR="009D69B6">
        <w:t xml:space="preserve"> Но</w:t>
      </w:r>
      <w:r w:rsidR="009D69B6" w:rsidRPr="009D69B6">
        <w:t xml:space="preserve"> уро</w:t>
      </w:r>
      <w:r w:rsidR="009D69B6" w:rsidRPr="009D69B6">
        <w:t>в</w:t>
      </w:r>
      <w:r w:rsidR="002436D8">
        <w:t>е</w:t>
      </w:r>
      <w:r w:rsidR="009D69B6" w:rsidRPr="009D69B6">
        <w:t>н</w:t>
      </w:r>
      <w:r w:rsidR="002436D8">
        <w:t>ь</w:t>
      </w:r>
      <w:r w:rsidR="009D69B6" w:rsidRPr="009D69B6">
        <w:t xml:space="preserve"> цен </w:t>
      </w:r>
      <w:r w:rsidR="002436D8">
        <w:t>в районе является одним из самых высоких в области</w:t>
      </w:r>
      <w:r w:rsidR="009D69B6">
        <w:t>.</w:t>
      </w:r>
    </w:p>
    <w:p w:rsidR="00B64249" w:rsidRDefault="000219BB" w:rsidP="00285F57">
      <w:pPr>
        <w:jc w:val="both"/>
      </w:pPr>
      <w:r>
        <w:tab/>
        <w:t xml:space="preserve">В целом </w:t>
      </w:r>
      <w:r w:rsidR="00501768">
        <w:t xml:space="preserve">в сфере торговли насчитывается </w:t>
      </w:r>
      <w:r w:rsidR="00725010">
        <w:t>3</w:t>
      </w:r>
      <w:r w:rsidR="00ED12AB">
        <w:t>30</w:t>
      </w:r>
      <w:r w:rsidR="00501768">
        <w:t xml:space="preserve"> объек</w:t>
      </w:r>
      <w:r w:rsidR="00725010">
        <w:t>т</w:t>
      </w:r>
      <w:r w:rsidR="00D82C58">
        <w:t>ов</w:t>
      </w:r>
      <w:r w:rsidR="00ED12AB">
        <w:t>, в т.ч. внесены в торговый реестр 312 объектов</w:t>
      </w:r>
      <w:r w:rsidR="00501768">
        <w:t xml:space="preserve">. Обеспеченность торговыми площадями в расчёте на 1000 жителей составляет </w:t>
      </w:r>
      <w:r w:rsidR="00ED12AB">
        <w:t>705</w:t>
      </w:r>
      <w:r w:rsidR="00501768">
        <w:t xml:space="preserve"> к</w:t>
      </w:r>
      <w:r w:rsidR="00FD153B">
        <w:t>в</w:t>
      </w:r>
      <w:r w:rsidR="00501768">
        <w:t xml:space="preserve">.м., при </w:t>
      </w:r>
      <w:r w:rsidR="00ED12AB">
        <w:t>нормативе</w:t>
      </w:r>
      <w:r w:rsidR="00501768">
        <w:t xml:space="preserve"> </w:t>
      </w:r>
      <w:r w:rsidR="00ED12AB">
        <w:t>479</w:t>
      </w:r>
      <w:r w:rsidR="00725010">
        <w:t xml:space="preserve"> </w:t>
      </w:r>
      <w:r w:rsidR="00501768">
        <w:t xml:space="preserve">кв.м. </w:t>
      </w:r>
      <w:r w:rsidR="00B64249">
        <w:t>Удельный вес района в объёме оборота ро</w:t>
      </w:r>
      <w:r w:rsidR="00B64249">
        <w:t>з</w:t>
      </w:r>
      <w:r w:rsidR="00B64249">
        <w:t>ничной торговли области с</w:t>
      </w:r>
      <w:r w:rsidR="00B64249">
        <w:t>о</w:t>
      </w:r>
      <w:r w:rsidR="00B64249">
        <w:t>ставл</w:t>
      </w:r>
      <w:r w:rsidR="00D82C58">
        <w:t xml:space="preserve">яет </w:t>
      </w:r>
      <w:r w:rsidR="00B64249">
        <w:t xml:space="preserve"> 3,</w:t>
      </w:r>
      <w:r w:rsidR="0036042E">
        <w:t>8</w:t>
      </w:r>
      <w:r w:rsidR="00B64249">
        <w:t xml:space="preserve"> % .</w:t>
      </w:r>
    </w:p>
    <w:p w:rsidR="00A024AE" w:rsidRDefault="00B64249" w:rsidP="00285F57">
      <w:pPr>
        <w:jc w:val="both"/>
      </w:pPr>
      <w:r>
        <w:tab/>
      </w:r>
      <w:r w:rsidR="000219BB">
        <w:t>В районе работают</w:t>
      </w:r>
      <w:r w:rsidR="00501768">
        <w:t xml:space="preserve"> </w:t>
      </w:r>
      <w:r w:rsidR="000219BB">
        <w:t>три</w:t>
      </w:r>
      <w:r w:rsidR="00501768">
        <w:t xml:space="preserve"> </w:t>
      </w:r>
      <w:r w:rsidR="00CA6B35">
        <w:t>магазина</w:t>
      </w:r>
      <w:r w:rsidR="00501768">
        <w:t xml:space="preserve"> торгов</w:t>
      </w:r>
      <w:r w:rsidR="005E6B45">
        <w:t>ой</w:t>
      </w:r>
      <w:r w:rsidR="00501768">
        <w:t xml:space="preserve"> сет</w:t>
      </w:r>
      <w:r w:rsidR="005E6B45">
        <w:t>и</w:t>
      </w:r>
      <w:r w:rsidR="00501768">
        <w:t xml:space="preserve"> «Магнит»</w:t>
      </w:r>
      <w:r w:rsidR="00D13E86">
        <w:t>,</w:t>
      </w:r>
      <w:r w:rsidR="00AB2E76">
        <w:t xml:space="preserve"> </w:t>
      </w:r>
      <w:r w:rsidR="000A543C">
        <w:t>три</w:t>
      </w:r>
      <w:r w:rsidR="005E6B45">
        <w:t xml:space="preserve"> сетевых магазина </w:t>
      </w:r>
      <w:r w:rsidR="00501768">
        <w:t>«Полуш</w:t>
      </w:r>
      <w:r w:rsidR="000219BB">
        <w:t>ка»</w:t>
      </w:r>
      <w:r w:rsidR="00D13E86">
        <w:t>, «Дикси»</w:t>
      </w:r>
      <w:r w:rsidR="00740093">
        <w:t xml:space="preserve">, «Улыбка радуги». </w:t>
      </w:r>
      <w:r w:rsidR="005E6B45" w:rsidRPr="00E525FA">
        <w:rPr>
          <w:sz w:val="28"/>
          <w:szCs w:val="28"/>
        </w:rPr>
        <w:t>В</w:t>
      </w:r>
      <w:r w:rsidR="005E6B45" w:rsidRPr="00E525FA">
        <w:t xml:space="preserve"> </w:t>
      </w:r>
      <w:r w:rsidR="00A024AE">
        <w:t xml:space="preserve">текущем </w:t>
      </w:r>
      <w:r w:rsidR="005E6B45" w:rsidRPr="00E525FA">
        <w:t>году  продолж</w:t>
      </w:r>
      <w:r w:rsidR="00FC0181">
        <w:t xml:space="preserve">алось </w:t>
      </w:r>
      <w:r w:rsidR="005E6B45" w:rsidRPr="00E525FA">
        <w:t>строительс</w:t>
      </w:r>
      <w:r w:rsidR="005E6B45" w:rsidRPr="00E525FA">
        <w:t>т</w:t>
      </w:r>
      <w:r w:rsidR="005E6B45" w:rsidRPr="00E525FA">
        <w:t xml:space="preserve">во </w:t>
      </w:r>
      <w:r w:rsidR="005E6B45" w:rsidRPr="00E525FA">
        <w:lastRenderedPageBreak/>
        <w:t>торгового центра с развлекательным комплексом «Рада-Интер» общей площадью 5</w:t>
      </w:r>
      <w:r w:rsidR="000A543C" w:rsidRPr="00E525FA">
        <w:t>,</w:t>
      </w:r>
      <w:r w:rsidR="005E6B45" w:rsidRPr="00E525FA">
        <w:t>5 тыс.кв.м.</w:t>
      </w:r>
      <w:r w:rsidR="005E6B45" w:rsidRPr="005E6B45">
        <w:t xml:space="preserve"> </w:t>
      </w:r>
      <w:r w:rsidR="00095310">
        <w:t>, магазин</w:t>
      </w:r>
      <w:r w:rsidR="00A024AE">
        <w:t>а</w:t>
      </w:r>
      <w:r w:rsidR="00095310">
        <w:t xml:space="preserve"> в д. Шуя, магазин</w:t>
      </w:r>
      <w:r w:rsidR="00A024AE">
        <w:t xml:space="preserve">ов </w:t>
      </w:r>
      <w:r w:rsidR="00095310">
        <w:t xml:space="preserve"> «Стройматериал</w:t>
      </w:r>
      <w:r w:rsidR="00A024AE">
        <w:t>ы</w:t>
      </w:r>
      <w:r w:rsidR="00095310">
        <w:t>» на пр.Васильева, пр. Сове</w:t>
      </w:r>
      <w:r w:rsidR="00095310">
        <w:t>т</w:t>
      </w:r>
      <w:r w:rsidR="00095310">
        <w:t xml:space="preserve">ском и ул. Песчаная, магазин </w:t>
      </w:r>
      <w:r w:rsidR="00A024AE">
        <w:t>ООО «Бриз» по пр. Васильева.</w:t>
      </w:r>
    </w:p>
    <w:p w:rsidR="00B64249" w:rsidRDefault="006D4D01" w:rsidP="00285F57">
      <w:pPr>
        <w:jc w:val="both"/>
        <w:rPr>
          <w:sz w:val="28"/>
          <w:szCs w:val="28"/>
        </w:rPr>
      </w:pPr>
      <w:r>
        <w:t>О</w:t>
      </w:r>
      <w:r w:rsidR="005E6B45" w:rsidRPr="005E6B45">
        <w:t>ткры</w:t>
      </w:r>
      <w:r>
        <w:t>лся</w:t>
      </w:r>
      <w:r w:rsidR="005E6B45" w:rsidRPr="005E6B45">
        <w:t xml:space="preserve"> торгово-офисный центр «Троицкий» </w:t>
      </w:r>
      <w:r w:rsidR="00F5533A">
        <w:t>в г.Валдае</w:t>
      </w:r>
      <w:r w:rsidR="005E6B45" w:rsidRPr="005E6B45">
        <w:t>.</w:t>
      </w:r>
      <w:r w:rsidR="005E6B45">
        <w:rPr>
          <w:sz w:val="28"/>
          <w:szCs w:val="28"/>
        </w:rPr>
        <w:t xml:space="preserve">   </w:t>
      </w:r>
    </w:p>
    <w:p w:rsidR="00501768" w:rsidRDefault="00501768" w:rsidP="00285F57">
      <w:pPr>
        <w:jc w:val="both"/>
      </w:pPr>
      <w:r>
        <w:tab/>
        <w:t xml:space="preserve">В районе насчитывается </w:t>
      </w:r>
      <w:r w:rsidR="00725010">
        <w:t>7</w:t>
      </w:r>
      <w:r w:rsidR="006D4D01">
        <w:t>2</w:t>
      </w:r>
      <w:r>
        <w:t xml:space="preserve"> предприяти</w:t>
      </w:r>
      <w:r w:rsidR="006D4D01">
        <w:t>я</w:t>
      </w:r>
      <w:r>
        <w:t xml:space="preserve"> общественного питания. </w:t>
      </w:r>
    </w:p>
    <w:p w:rsidR="00C9006D" w:rsidRDefault="00C9006D" w:rsidP="00285F57">
      <w:pPr>
        <w:jc w:val="both"/>
      </w:pPr>
    </w:p>
    <w:p w:rsidR="000852ED" w:rsidRDefault="004F5691" w:rsidP="00285F57">
      <w:pPr>
        <w:jc w:val="both"/>
      </w:pPr>
      <w:r>
        <w:t>Т</w:t>
      </w:r>
      <w:r w:rsidR="000852ED">
        <w:t xml:space="preserve">оварооборот общественного питания за </w:t>
      </w:r>
      <w:r w:rsidR="003307D7">
        <w:t>1</w:t>
      </w:r>
      <w:r w:rsidR="00413B52">
        <w:t>2</w:t>
      </w:r>
      <w:r>
        <w:t xml:space="preserve"> месяцев</w:t>
      </w:r>
      <w:r w:rsidR="00D82C58">
        <w:t xml:space="preserve"> </w:t>
      </w:r>
      <w:r w:rsidR="000852ED">
        <w:t>201</w:t>
      </w:r>
      <w:r w:rsidR="00D82C58">
        <w:t>1</w:t>
      </w:r>
      <w:r w:rsidR="000852ED">
        <w:t xml:space="preserve"> год</w:t>
      </w:r>
      <w:r w:rsidR="00D82C58">
        <w:t>а</w:t>
      </w:r>
      <w:r w:rsidR="000852ED">
        <w:t>.</w:t>
      </w:r>
    </w:p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4495"/>
        <w:gridCol w:w="1097"/>
        <w:gridCol w:w="1097"/>
        <w:gridCol w:w="2200"/>
      </w:tblGrid>
      <w:tr w:rsidR="00CA373A">
        <w:tc>
          <w:tcPr>
            <w:tcW w:w="0" w:type="auto"/>
          </w:tcPr>
          <w:p w:rsidR="000852ED" w:rsidRDefault="000852ED" w:rsidP="00285F57">
            <w:pPr>
              <w:jc w:val="both"/>
            </w:pPr>
            <w:r>
              <w:t>Показатели</w:t>
            </w:r>
          </w:p>
        </w:tc>
        <w:tc>
          <w:tcPr>
            <w:tcW w:w="0" w:type="auto"/>
          </w:tcPr>
          <w:p w:rsidR="000852ED" w:rsidRDefault="000852ED" w:rsidP="00285F57">
            <w:pPr>
              <w:jc w:val="both"/>
            </w:pPr>
            <w:r>
              <w:t>201</w:t>
            </w:r>
            <w:r w:rsidR="00CA6B35">
              <w:t>1</w:t>
            </w:r>
            <w:r>
              <w:t xml:space="preserve"> год</w:t>
            </w:r>
          </w:p>
        </w:tc>
        <w:tc>
          <w:tcPr>
            <w:tcW w:w="0" w:type="auto"/>
          </w:tcPr>
          <w:p w:rsidR="000852ED" w:rsidRDefault="000852ED" w:rsidP="00285F57">
            <w:pPr>
              <w:jc w:val="both"/>
            </w:pPr>
            <w:r>
              <w:t>20</w:t>
            </w:r>
            <w:r w:rsidR="00CA6B35">
              <w:t>1</w:t>
            </w:r>
            <w:r>
              <w:t xml:space="preserve">0 год </w:t>
            </w:r>
          </w:p>
        </w:tc>
        <w:tc>
          <w:tcPr>
            <w:tcW w:w="0" w:type="auto"/>
          </w:tcPr>
          <w:p w:rsidR="000852ED" w:rsidRDefault="00BF1900" w:rsidP="00285F57">
            <w:pPr>
              <w:jc w:val="both"/>
            </w:pPr>
            <w:r>
              <w:t xml:space="preserve">Индекс физ.объема </w:t>
            </w:r>
          </w:p>
        </w:tc>
      </w:tr>
      <w:tr w:rsidR="00CA373A">
        <w:tc>
          <w:tcPr>
            <w:tcW w:w="0" w:type="auto"/>
          </w:tcPr>
          <w:p w:rsidR="000852ED" w:rsidRDefault="000852ED" w:rsidP="00285F57">
            <w:pPr>
              <w:jc w:val="both"/>
            </w:pPr>
            <w:r>
              <w:t>Объекты общественного питания, ед.</w:t>
            </w:r>
          </w:p>
        </w:tc>
        <w:tc>
          <w:tcPr>
            <w:tcW w:w="0" w:type="auto"/>
          </w:tcPr>
          <w:p w:rsidR="000852ED" w:rsidRDefault="00725010" w:rsidP="00285F57">
            <w:pPr>
              <w:jc w:val="center"/>
            </w:pPr>
            <w:r>
              <w:t>7</w:t>
            </w:r>
            <w:r w:rsidR="000362DF">
              <w:t>2</w:t>
            </w:r>
          </w:p>
        </w:tc>
        <w:tc>
          <w:tcPr>
            <w:tcW w:w="0" w:type="auto"/>
          </w:tcPr>
          <w:p w:rsidR="000852ED" w:rsidRDefault="00725010" w:rsidP="00285F57">
            <w:pPr>
              <w:jc w:val="center"/>
            </w:pPr>
            <w:r>
              <w:t>7</w:t>
            </w:r>
            <w:r w:rsidR="00CA6B35">
              <w:t>1</w:t>
            </w:r>
          </w:p>
        </w:tc>
        <w:tc>
          <w:tcPr>
            <w:tcW w:w="0" w:type="auto"/>
          </w:tcPr>
          <w:p w:rsidR="000852ED" w:rsidRDefault="00C715B9" w:rsidP="00285F57">
            <w:pPr>
              <w:jc w:val="center"/>
            </w:pPr>
            <w:r>
              <w:t>+1</w:t>
            </w:r>
          </w:p>
        </w:tc>
      </w:tr>
      <w:tr w:rsidR="00CA373A">
        <w:tc>
          <w:tcPr>
            <w:tcW w:w="0" w:type="auto"/>
          </w:tcPr>
          <w:p w:rsidR="000852ED" w:rsidRDefault="000852ED" w:rsidP="00285F57">
            <w:pPr>
              <w:jc w:val="both"/>
            </w:pPr>
            <w:r>
              <w:t>Оборот общественного питания, млн.руб.</w:t>
            </w:r>
          </w:p>
        </w:tc>
        <w:tc>
          <w:tcPr>
            <w:tcW w:w="0" w:type="auto"/>
          </w:tcPr>
          <w:p w:rsidR="000852ED" w:rsidRDefault="006E0960" w:rsidP="00285F57">
            <w:pPr>
              <w:jc w:val="center"/>
            </w:pPr>
            <w:r>
              <w:t>1</w:t>
            </w:r>
            <w:r w:rsidR="00413B52">
              <w:t>45,6</w:t>
            </w:r>
          </w:p>
        </w:tc>
        <w:tc>
          <w:tcPr>
            <w:tcW w:w="0" w:type="auto"/>
          </w:tcPr>
          <w:p w:rsidR="000852ED" w:rsidRDefault="00872E7C" w:rsidP="00285F57">
            <w:pPr>
              <w:jc w:val="center"/>
            </w:pPr>
            <w:r>
              <w:t>1</w:t>
            </w:r>
            <w:r w:rsidR="006117FE">
              <w:t>38,0</w:t>
            </w:r>
          </w:p>
        </w:tc>
        <w:tc>
          <w:tcPr>
            <w:tcW w:w="0" w:type="auto"/>
          </w:tcPr>
          <w:p w:rsidR="000852ED" w:rsidRDefault="006E0960" w:rsidP="00285F57">
            <w:pPr>
              <w:jc w:val="center"/>
            </w:pPr>
            <w:r>
              <w:t>96,8</w:t>
            </w:r>
          </w:p>
        </w:tc>
      </w:tr>
    </w:tbl>
    <w:p w:rsidR="00C9006D" w:rsidRDefault="00E525FA" w:rsidP="00285F57">
      <w:pPr>
        <w:jc w:val="both"/>
      </w:pPr>
      <w:r>
        <w:tab/>
      </w:r>
    </w:p>
    <w:p w:rsidR="004B234B" w:rsidRDefault="00E525FA" w:rsidP="00285F57">
      <w:pPr>
        <w:jc w:val="both"/>
      </w:pPr>
      <w:r>
        <w:t>Снижение товарооборота произошло из-за закрытия на капитальный ремонт во 2 квартале ресторана Валдайского ТПП ОПС</w:t>
      </w:r>
      <w:r w:rsidR="00B96A82">
        <w:t>, что является объективным фактором. А к субъекти</w:t>
      </w:r>
      <w:r w:rsidR="00B96A82">
        <w:t>в</w:t>
      </w:r>
      <w:r w:rsidR="00B96A82">
        <w:t>ным – можно отнести то, что организацию питания в  школьных столовых района  с 3 квартала 2011 года осуществляет индивидуальный предприниматель, товарооборот общ</w:t>
      </w:r>
      <w:r w:rsidR="00B96A82">
        <w:t>е</w:t>
      </w:r>
      <w:r w:rsidR="00B96A82">
        <w:t>ственного питания которого не учитывается органами ст</w:t>
      </w:r>
      <w:r w:rsidR="00B96A82">
        <w:t>а</w:t>
      </w:r>
      <w:r w:rsidR="00B96A82">
        <w:t>тистики</w:t>
      </w:r>
      <w:r>
        <w:t>.</w:t>
      </w:r>
    </w:p>
    <w:p w:rsidR="000852ED" w:rsidRDefault="004B234B" w:rsidP="00285F57">
      <w:pPr>
        <w:jc w:val="both"/>
      </w:pPr>
      <w:r>
        <w:t xml:space="preserve">      </w:t>
      </w:r>
      <w:r w:rsidR="00B5686D">
        <w:t>В связи с расширением федеральных торговых сетей у</w:t>
      </w:r>
      <w:r w:rsidR="005150C6">
        <w:t xml:space="preserve">дельный вес </w:t>
      </w:r>
      <w:r w:rsidR="000852ED">
        <w:t xml:space="preserve"> Валдайско</w:t>
      </w:r>
      <w:r w:rsidR="005150C6">
        <w:t>го</w:t>
      </w:r>
      <w:r w:rsidR="000852ED">
        <w:t xml:space="preserve"> ТПП</w:t>
      </w:r>
      <w:r w:rsidR="005150C6">
        <w:t xml:space="preserve"> в обороте розничной торговли </w:t>
      </w:r>
      <w:r w:rsidR="001B008D">
        <w:t xml:space="preserve">района ежегодно уменьшается и </w:t>
      </w:r>
      <w:r w:rsidR="005150C6">
        <w:t>состав</w:t>
      </w:r>
      <w:r w:rsidR="00B5686D">
        <w:t xml:space="preserve">ляет </w:t>
      </w:r>
      <w:r w:rsidR="001B008D">
        <w:t>в 2011 году 7,</w:t>
      </w:r>
      <w:r w:rsidR="00406131">
        <w:t xml:space="preserve">1 </w:t>
      </w:r>
      <w:r w:rsidR="005150C6">
        <w:t>%</w:t>
      </w:r>
      <w:r w:rsidR="000852ED">
        <w:t>. Товарооборот общес</w:t>
      </w:r>
      <w:r w:rsidR="000852ED">
        <w:t>т</w:t>
      </w:r>
      <w:r w:rsidR="000852ED">
        <w:t xml:space="preserve">венного питания в Валдайском ТПП составил </w:t>
      </w:r>
      <w:r w:rsidR="001B008D">
        <w:t>24,6</w:t>
      </w:r>
      <w:r w:rsidR="00725010">
        <w:t xml:space="preserve"> </w:t>
      </w:r>
      <w:r w:rsidR="000852ED">
        <w:t xml:space="preserve">млн.руб.( </w:t>
      </w:r>
      <w:r w:rsidR="00843AA5">
        <w:t>9</w:t>
      </w:r>
      <w:r w:rsidR="001B008D">
        <w:t>2,4</w:t>
      </w:r>
      <w:r w:rsidR="00D82C58">
        <w:t xml:space="preserve"> </w:t>
      </w:r>
      <w:r w:rsidR="000852ED">
        <w:t>%), в том числе произв</w:t>
      </w:r>
      <w:r w:rsidR="004323D4">
        <w:t>едено</w:t>
      </w:r>
      <w:r w:rsidR="000852ED">
        <w:t xml:space="preserve"> продукции собственного производства </w:t>
      </w:r>
      <w:r w:rsidR="001B008D">
        <w:t>23,5</w:t>
      </w:r>
      <w:r w:rsidR="000852ED">
        <w:t xml:space="preserve"> млн.руб. (</w:t>
      </w:r>
      <w:r w:rsidR="001B008D">
        <w:t>94,5</w:t>
      </w:r>
      <w:r w:rsidR="00D82C58">
        <w:t xml:space="preserve"> </w:t>
      </w:r>
      <w:r w:rsidR="000852ED">
        <w:t>%</w:t>
      </w:r>
      <w:r w:rsidR="00725010">
        <w:t xml:space="preserve"> к уро</w:t>
      </w:r>
      <w:r w:rsidR="00725010">
        <w:t>в</w:t>
      </w:r>
      <w:r w:rsidR="00725010">
        <w:t>ню 20</w:t>
      </w:r>
      <w:r w:rsidR="00D82C58">
        <w:t>1</w:t>
      </w:r>
      <w:r w:rsidR="00725010">
        <w:t>0 года</w:t>
      </w:r>
      <w:r w:rsidR="000852ED">
        <w:t>)</w:t>
      </w:r>
    </w:p>
    <w:p w:rsidR="000F6AF0" w:rsidRDefault="000F6AF0" w:rsidP="00285F57">
      <w:pPr>
        <w:jc w:val="both"/>
      </w:pPr>
    </w:p>
    <w:p w:rsidR="000852ED" w:rsidRDefault="000852ED" w:rsidP="00285F57">
      <w:pPr>
        <w:jc w:val="both"/>
      </w:pPr>
    </w:p>
    <w:p w:rsidR="000852ED" w:rsidRDefault="000852ED" w:rsidP="000013F2">
      <w:pPr>
        <w:jc w:val="center"/>
        <w:rPr>
          <w:b/>
        </w:rPr>
      </w:pPr>
      <w:r w:rsidRPr="000852ED">
        <w:rPr>
          <w:b/>
        </w:rPr>
        <w:t>СОЦИАЛЬНАЯ ЗАЩИТА НАСЕЛЕНИЯ.</w:t>
      </w:r>
    </w:p>
    <w:p w:rsidR="006773B9" w:rsidRDefault="006773B9" w:rsidP="00285F57">
      <w:pPr>
        <w:jc w:val="both"/>
        <w:rPr>
          <w:b/>
        </w:rPr>
      </w:pPr>
    </w:p>
    <w:p w:rsidR="000852ED" w:rsidRDefault="005960E2" w:rsidP="00285F57">
      <w:pPr>
        <w:jc w:val="both"/>
      </w:pPr>
      <w:r>
        <w:t xml:space="preserve"> </w:t>
      </w:r>
      <w:r w:rsidR="004B234B">
        <w:t xml:space="preserve">     </w:t>
      </w:r>
      <w:r>
        <w:t xml:space="preserve">На учёте в социальной службе состоит </w:t>
      </w:r>
      <w:r w:rsidR="00AB61CD">
        <w:t>2604</w:t>
      </w:r>
      <w:r>
        <w:t xml:space="preserve"> малообеспеченных граждан, доход кот</w:t>
      </w:r>
      <w:r>
        <w:t>о</w:t>
      </w:r>
      <w:r>
        <w:t>рых ниже прожиточного минимума на душу населения, установленного по области (</w:t>
      </w:r>
      <w:r w:rsidR="008778FF">
        <w:t xml:space="preserve"> </w:t>
      </w:r>
      <w:r w:rsidR="008C7E1F" w:rsidRPr="00005A60">
        <w:t>5</w:t>
      </w:r>
      <w:r w:rsidR="00005A60" w:rsidRPr="00005A60">
        <w:t>801</w:t>
      </w:r>
      <w:r w:rsidR="00BE1C69">
        <w:t xml:space="preserve"> </w:t>
      </w:r>
      <w:r>
        <w:t xml:space="preserve">руб.), что составляет </w:t>
      </w:r>
      <w:r w:rsidR="00AB61CD">
        <w:t>9,9</w:t>
      </w:r>
      <w:r w:rsidR="00F61F04">
        <w:t xml:space="preserve"> %</w:t>
      </w:r>
      <w:r>
        <w:t xml:space="preserve"> от общей численности населения района.</w:t>
      </w:r>
    </w:p>
    <w:p w:rsidR="005960E2" w:rsidRDefault="005960E2" w:rsidP="00285F57">
      <w:pPr>
        <w:jc w:val="both"/>
      </w:pPr>
      <w:r>
        <w:tab/>
        <w:t xml:space="preserve">В течение </w:t>
      </w:r>
      <w:r w:rsidR="00275302">
        <w:t>года</w:t>
      </w:r>
      <w:r>
        <w:t xml:space="preserve"> выполнялись все нормативно-правовые акты федерального и о</w:t>
      </w:r>
      <w:r>
        <w:t>б</w:t>
      </w:r>
      <w:r>
        <w:t>ластного значения по социальной защите и поддержке населения.</w:t>
      </w:r>
    </w:p>
    <w:p w:rsidR="00E61583" w:rsidRDefault="00E61583" w:rsidP="00285F57">
      <w:pPr>
        <w:jc w:val="both"/>
      </w:pPr>
      <w:r>
        <w:tab/>
      </w:r>
      <w:r w:rsidRPr="009F3C35">
        <w:t xml:space="preserve">Средний размер пенсии по состоянию на 1 </w:t>
      </w:r>
      <w:r w:rsidR="003D3AC1" w:rsidRPr="009F3C35">
        <w:t>января</w:t>
      </w:r>
      <w:r w:rsidR="00A4468E" w:rsidRPr="009F3C35">
        <w:t xml:space="preserve"> </w:t>
      </w:r>
      <w:r w:rsidRPr="009F3C35">
        <w:t>201</w:t>
      </w:r>
      <w:r w:rsidR="00FF33FC" w:rsidRPr="009F3C35">
        <w:t>2</w:t>
      </w:r>
      <w:r w:rsidRPr="009F3C35">
        <w:t xml:space="preserve"> года с</w:t>
      </w:r>
      <w:r w:rsidRPr="009F3C35">
        <w:t>о</w:t>
      </w:r>
      <w:r w:rsidRPr="009F3C35">
        <w:t>ставил 78</w:t>
      </w:r>
      <w:r w:rsidR="00FF33FC" w:rsidRPr="009F3C35">
        <w:t>29</w:t>
      </w:r>
      <w:r w:rsidR="00B6265F" w:rsidRPr="009F3C35">
        <w:t xml:space="preserve"> руб</w:t>
      </w:r>
      <w:r w:rsidR="00B6265F" w:rsidRPr="00005A60">
        <w:t>.</w:t>
      </w:r>
      <w:r w:rsidR="00ED2D49">
        <w:t xml:space="preserve">, по старости </w:t>
      </w:r>
      <w:r w:rsidR="00B6265F" w:rsidRPr="00005A60">
        <w:t>-</w:t>
      </w:r>
      <w:r w:rsidR="00ED2D49">
        <w:t>8671, что</w:t>
      </w:r>
      <w:r w:rsidRPr="00005A60">
        <w:t xml:space="preserve"> на </w:t>
      </w:r>
      <w:r w:rsidR="00ED2D49">
        <w:t>88,1</w:t>
      </w:r>
      <w:r w:rsidR="00005A60" w:rsidRPr="00005A60">
        <w:t xml:space="preserve"> </w:t>
      </w:r>
      <w:r w:rsidRPr="00005A60">
        <w:t>% выше прожиточного минимума пенсионера ( 4</w:t>
      </w:r>
      <w:r w:rsidR="00005A60" w:rsidRPr="00005A60">
        <w:t>610</w:t>
      </w:r>
      <w:r w:rsidRPr="00005A60">
        <w:t xml:space="preserve"> руб. ) и аналогичного показ</w:t>
      </w:r>
      <w:r w:rsidRPr="00005A60">
        <w:t>а</w:t>
      </w:r>
      <w:r w:rsidRPr="00005A60">
        <w:t xml:space="preserve">теля 2010 года </w:t>
      </w:r>
      <w:r w:rsidR="00170C55" w:rsidRPr="00005A60">
        <w:t xml:space="preserve">на </w:t>
      </w:r>
      <w:r w:rsidR="00F009CD" w:rsidRPr="00005A60">
        <w:t>8,</w:t>
      </w:r>
      <w:r w:rsidR="00DB3D02">
        <w:t>3</w:t>
      </w:r>
      <w:r w:rsidR="00F009CD" w:rsidRPr="00005A60">
        <w:t xml:space="preserve"> </w:t>
      </w:r>
      <w:r w:rsidR="00170C55" w:rsidRPr="00005A60">
        <w:t>%.</w:t>
      </w:r>
      <w:r w:rsidR="00363AA4">
        <w:t xml:space="preserve"> </w:t>
      </w:r>
      <w:r w:rsidR="005F5DAD">
        <w:t xml:space="preserve"> </w:t>
      </w:r>
    </w:p>
    <w:p w:rsidR="005960E2" w:rsidRDefault="005960E2" w:rsidP="00285F57">
      <w:pPr>
        <w:jc w:val="both"/>
      </w:pPr>
      <w:r>
        <w:tab/>
        <w:t xml:space="preserve">В районе проживает </w:t>
      </w:r>
      <w:r w:rsidR="00276A0D">
        <w:t>7,</w:t>
      </w:r>
      <w:r w:rsidR="00365BA8">
        <w:t>6</w:t>
      </w:r>
      <w:r w:rsidR="004F7ACA">
        <w:t xml:space="preserve"> тыс.</w:t>
      </w:r>
      <w:r>
        <w:t xml:space="preserve"> чел, получающих льготы. Сумма возмещения и в</w:t>
      </w:r>
      <w:r>
        <w:t>ы</w:t>
      </w:r>
      <w:r>
        <w:t>платы им компенсации составила в 201</w:t>
      </w:r>
      <w:r w:rsidR="004F7ACA">
        <w:t>1</w:t>
      </w:r>
      <w:r>
        <w:t xml:space="preserve"> год</w:t>
      </w:r>
      <w:r w:rsidR="00365BA8">
        <w:t>у</w:t>
      </w:r>
      <w:r w:rsidR="004F7ACA">
        <w:t xml:space="preserve"> </w:t>
      </w:r>
      <w:r w:rsidR="00365BA8">
        <w:t>85,4</w:t>
      </w:r>
      <w:r>
        <w:t xml:space="preserve"> млн.руб.</w:t>
      </w:r>
    </w:p>
    <w:p w:rsidR="005960E2" w:rsidRDefault="005960E2" w:rsidP="00285F57">
      <w:pPr>
        <w:jc w:val="both"/>
      </w:pPr>
      <w:r>
        <w:tab/>
      </w:r>
      <w:r w:rsidR="00365BA8">
        <w:t>900</w:t>
      </w:r>
      <w:r w:rsidR="003E483D" w:rsidRPr="003E483D">
        <w:t xml:space="preserve"> м</w:t>
      </w:r>
      <w:r w:rsidRPr="003E483D">
        <w:t>алообеспеченным семьям с детьми выплачено</w:t>
      </w:r>
      <w:r w:rsidR="00C400B0" w:rsidRPr="003E483D">
        <w:t xml:space="preserve"> </w:t>
      </w:r>
      <w:r w:rsidR="00365BA8">
        <w:t>4,4</w:t>
      </w:r>
      <w:r w:rsidRPr="003E483D">
        <w:t xml:space="preserve"> млн. руб. ежемесячных п</w:t>
      </w:r>
      <w:r w:rsidRPr="003E483D">
        <w:t>о</w:t>
      </w:r>
      <w:r w:rsidRPr="003E483D">
        <w:t>собий. Выплачено также единовременных пособий на рождение ребёнка и ежемесячных п</w:t>
      </w:r>
      <w:r w:rsidRPr="003E483D">
        <w:t>о</w:t>
      </w:r>
      <w:r w:rsidRPr="003E483D">
        <w:t>собий по уходу за ребёнком на сумму</w:t>
      </w:r>
      <w:r w:rsidR="00F841CB" w:rsidRPr="003E483D">
        <w:t xml:space="preserve"> </w:t>
      </w:r>
      <w:r w:rsidR="00365BA8">
        <w:t>5,2</w:t>
      </w:r>
      <w:r w:rsidRPr="003E483D">
        <w:t xml:space="preserve"> млн.руб.</w:t>
      </w:r>
    </w:p>
    <w:p w:rsidR="00BB0E53" w:rsidRDefault="00517D38" w:rsidP="00285F57">
      <w:pPr>
        <w:jc w:val="both"/>
      </w:pPr>
      <w:r>
        <w:tab/>
      </w:r>
      <w:r w:rsidR="00BB0E53">
        <w:t>Результатом благотворительного марафона «Рождественский подарок- 2011» ст</w:t>
      </w:r>
      <w:r w:rsidR="00BB0E53">
        <w:t>а</w:t>
      </w:r>
      <w:r w:rsidR="00BB0E53">
        <w:t>ла помощь 159 малоимущим семьям с детьми и семьи с детьми-инвалидами  по ремонту ж</w:t>
      </w:r>
      <w:r w:rsidR="00BB0E53">
        <w:t>и</w:t>
      </w:r>
      <w:r w:rsidR="00BB0E53">
        <w:t>лья, приобретению техники, лекарств  и другим услугам. Кроме того, помощь получили 12 организаций, работающих с детьми.</w:t>
      </w:r>
    </w:p>
    <w:p w:rsidR="00276A0D" w:rsidRPr="00EC688A" w:rsidRDefault="00276A0D" w:rsidP="00285F57">
      <w:pPr>
        <w:jc w:val="both"/>
      </w:pPr>
      <w:r w:rsidRPr="00EC688A">
        <w:t xml:space="preserve"> </w:t>
      </w:r>
    </w:p>
    <w:p w:rsidR="003C46C7" w:rsidRDefault="003C46C7" w:rsidP="00023411">
      <w:pPr>
        <w:jc w:val="center"/>
        <w:rPr>
          <w:b/>
        </w:rPr>
      </w:pPr>
    </w:p>
    <w:p w:rsidR="00A62775" w:rsidRDefault="00A62775" w:rsidP="00023411">
      <w:pPr>
        <w:jc w:val="center"/>
        <w:rPr>
          <w:b/>
        </w:rPr>
      </w:pPr>
      <w:r>
        <w:rPr>
          <w:b/>
        </w:rPr>
        <w:t>МАЛЫЙ БИЗНЕС.</w:t>
      </w:r>
    </w:p>
    <w:p w:rsidR="00A62775" w:rsidRDefault="00A62775" w:rsidP="00285F57">
      <w:pPr>
        <w:jc w:val="both"/>
        <w:rPr>
          <w:b/>
        </w:rPr>
      </w:pPr>
    </w:p>
    <w:p w:rsidR="00C27508" w:rsidRDefault="00A62775" w:rsidP="00285F57">
      <w:pPr>
        <w:jc w:val="both"/>
      </w:pPr>
      <w:r>
        <w:rPr>
          <w:sz w:val="28"/>
          <w:szCs w:val="28"/>
        </w:rPr>
        <w:t xml:space="preserve">         </w:t>
      </w:r>
      <w:r w:rsidRPr="00A62775">
        <w:t>В районе разработана Программа развития малого  и среднего предпр</w:t>
      </w:r>
      <w:r w:rsidRPr="00A62775">
        <w:t>и</w:t>
      </w:r>
      <w:r w:rsidRPr="00A62775">
        <w:t xml:space="preserve">нимательства на 2011-2013 годы. </w:t>
      </w:r>
      <w:r w:rsidR="00391C0D">
        <w:t>Г</w:t>
      </w:r>
      <w:r w:rsidRPr="00A62775">
        <w:t xml:space="preserve">одовое финансирование Программы  </w:t>
      </w:r>
      <w:r w:rsidR="00391C0D">
        <w:t>из</w:t>
      </w:r>
      <w:r w:rsidRPr="00A62775">
        <w:t xml:space="preserve"> районно</w:t>
      </w:r>
      <w:r w:rsidR="00391C0D">
        <w:t>го</w:t>
      </w:r>
      <w:r w:rsidRPr="00A62775">
        <w:t xml:space="preserve"> бюджет</w:t>
      </w:r>
      <w:r w:rsidR="00391C0D">
        <w:t>а</w:t>
      </w:r>
      <w:r w:rsidRPr="00A62775">
        <w:t xml:space="preserve"> </w:t>
      </w:r>
      <w:r w:rsidR="00391C0D">
        <w:t>соста</w:t>
      </w:r>
      <w:r w:rsidR="00D559AD">
        <w:t>в</w:t>
      </w:r>
      <w:r w:rsidR="00B072B0">
        <w:t>и</w:t>
      </w:r>
      <w:r w:rsidR="00B072B0">
        <w:t>ло</w:t>
      </w:r>
      <w:r w:rsidRPr="00A62775">
        <w:t xml:space="preserve"> </w:t>
      </w:r>
      <w:r w:rsidR="003322F6">
        <w:t>0,3 млн</w:t>
      </w:r>
      <w:r w:rsidRPr="00A62775">
        <w:t>.руб</w:t>
      </w:r>
      <w:r w:rsidR="00D91364">
        <w:t>.</w:t>
      </w:r>
      <w:r w:rsidR="00C27508">
        <w:t xml:space="preserve">, софинансирование из областного бюджета </w:t>
      </w:r>
      <w:r w:rsidR="003322F6">
        <w:t>–</w:t>
      </w:r>
      <w:r w:rsidR="00C27508">
        <w:t xml:space="preserve"> </w:t>
      </w:r>
      <w:r w:rsidR="003322F6">
        <w:t>0,2 млн.</w:t>
      </w:r>
      <w:r w:rsidR="00C27508">
        <w:t>руб</w:t>
      </w:r>
      <w:r w:rsidR="000C0669">
        <w:t>.</w:t>
      </w:r>
      <w:r w:rsidR="00C27508">
        <w:t>, из федерал</w:t>
      </w:r>
      <w:r w:rsidR="00C27508">
        <w:t>ь</w:t>
      </w:r>
      <w:r w:rsidR="00C27508">
        <w:t xml:space="preserve">ного бюджета – </w:t>
      </w:r>
      <w:r w:rsidR="003322F6">
        <w:t>0,8</w:t>
      </w:r>
      <w:r w:rsidR="00C27508">
        <w:t xml:space="preserve"> </w:t>
      </w:r>
      <w:r w:rsidR="003322F6">
        <w:t>млн.</w:t>
      </w:r>
      <w:r w:rsidR="00C27508">
        <w:t>руб.</w:t>
      </w:r>
      <w:r w:rsidRPr="00A62775">
        <w:t xml:space="preserve"> </w:t>
      </w:r>
      <w:r w:rsidR="00255262">
        <w:t xml:space="preserve">В </w:t>
      </w:r>
      <w:smartTag w:uri="urn:schemas-microsoft-com:office:smarttags" w:element="metricconverter">
        <w:smartTagPr>
          <w:attr w:name="ProductID" w:val="2011 г"/>
        </w:smartTagPr>
        <w:r w:rsidR="00AB5724">
          <w:t xml:space="preserve">2011 </w:t>
        </w:r>
        <w:r w:rsidR="00255262">
          <w:t>г</w:t>
        </w:r>
      </w:smartTag>
      <w:r w:rsidR="00255262">
        <w:t>.</w:t>
      </w:r>
      <w:r w:rsidRPr="00A62775">
        <w:t xml:space="preserve"> выделен</w:t>
      </w:r>
      <w:r w:rsidR="00255262">
        <w:t xml:space="preserve">о </w:t>
      </w:r>
      <w:r w:rsidR="00C27508">
        <w:t>шесть</w:t>
      </w:r>
      <w:r w:rsidRPr="00A62775">
        <w:t xml:space="preserve"> грант</w:t>
      </w:r>
      <w:r w:rsidR="00C27508">
        <w:t>ов</w:t>
      </w:r>
      <w:r w:rsidRPr="00A62775">
        <w:t xml:space="preserve"> предпринимателям, организу</w:t>
      </w:r>
      <w:r w:rsidRPr="00A62775">
        <w:t>ю</w:t>
      </w:r>
      <w:r w:rsidRPr="00A62775">
        <w:t>щим свой бизнес в сфер</w:t>
      </w:r>
      <w:r w:rsidR="00255262">
        <w:t>е</w:t>
      </w:r>
      <w:r w:rsidRPr="00A62775">
        <w:t xml:space="preserve"> производства </w:t>
      </w:r>
      <w:r w:rsidR="00255262">
        <w:t xml:space="preserve">сельскохозяйственной </w:t>
      </w:r>
      <w:r w:rsidRPr="00A62775">
        <w:t>продукции</w:t>
      </w:r>
      <w:r w:rsidR="00C27508">
        <w:t>, бытового о</w:t>
      </w:r>
      <w:r w:rsidR="00C27508">
        <w:t>б</w:t>
      </w:r>
      <w:r w:rsidR="00C27508">
        <w:t>служивания и тури</w:t>
      </w:r>
      <w:r w:rsidR="00C27508">
        <w:t>з</w:t>
      </w:r>
      <w:r w:rsidR="00C27508">
        <w:t>ма</w:t>
      </w:r>
      <w:r w:rsidR="00FF4288">
        <w:t xml:space="preserve"> на общую сумму 1</w:t>
      </w:r>
      <w:r w:rsidR="003322F6">
        <w:t>,</w:t>
      </w:r>
      <w:r w:rsidR="00FF4288">
        <w:t>3</w:t>
      </w:r>
      <w:r w:rsidR="003322F6">
        <w:t xml:space="preserve"> млн</w:t>
      </w:r>
      <w:r w:rsidR="00FF4288">
        <w:t>.руб.</w:t>
      </w:r>
      <w:r w:rsidRPr="00A62775">
        <w:t xml:space="preserve"> </w:t>
      </w:r>
    </w:p>
    <w:p w:rsidR="00A62775" w:rsidRDefault="00700676" w:rsidP="00285F57">
      <w:pPr>
        <w:jc w:val="both"/>
      </w:pPr>
      <w:r>
        <w:tab/>
      </w:r>
      <w:r w:rsidR="00A62775" w:rsidRPr="00A62775">
        <w:t xml:space="preserve">О том, что предпринимательская деятельность развивается, свидетельствует </w:t>
      </w:r>
      <w:r w:rsidR="00DC013D">
        <w:t>ра</w:t>
      </w:r>
      <w:r w:rsidR="00DC013D">
        <w:t>с</w:t>
      </w:r>
      <w:r w:rsidR="00DC013D">
        <w:t>ширение сферы оказываемых услуг субъектами малого бизнеса, кроме предприятий то</w:t>
      </w:r>
      <w:r w:rsidR="00DC013D">
        <w:t>р</w:t>
      </w:r>
      <w:r w:rsidR="00DC013D">
        <w:lastRenderedPageBreak/>
        <w:t>говли в Валдае расширяется сфера оказания услуг, создаются крестьянские (фе</w:t>
      </w:r>
      <w:r w:rsidR="00DC013D">
        <w:t>р</w:t>
      </w:r>
      <w:r w:rsidR="00DC013D">
        <w:t>мерские) хозяйства.</w:t>
      </w:r>
      <w:r w:rsidR="00D3774A">
        <w:t>.</w:t>
      </w:r>
    </w:p>
    <w:p w:rsidR="00A62775" w:rsidRDefault="00BB503D" w:rsidP="00285F57">
      <w:pPr>
        <w:jc w:val="both"/>
      </w:pPr>
      <w:r>
        <w:tab/>
      </w:r>
      <w:r w:rsidR="00A62775" w:rsidRPr="00A62775">
        <w:t>По итогам работы за прошедший год  два предпринимателя,  в их числе Тру</w:t>
      </w:r>
      <w:r>
        <w:t>щ</w:t>
      </w:r>
      <w:r w:rsidR="00A62775" w:rsidRPr="00A62775">
        <w:t>енк</w:t>
      </w:r>
      <w:r w:rsidR="00A62775" w:rsidRPr="00A62775">
        <w:t>о</w:t>
      </w:r>
      <w:r w:rsidR="00A62775" w:rsidRPr="00A62775">
        <w:t xml:space="preserve">ва Светлана Юрьевна и Пикин Михаил Васильевич стали </w:t>
      </w:r>
      <w:r w:rsidR="00641D31">
        <w:t xml:space="preserve">в марте </w:t>
      </w:r>
      <w:r w:rsidR="00A62775" w:rsidRPr="00A62775">
        <w:t>победителями областн</w:t>
      </w:r>
      <w:r w:rsidR="00A62775" w:rsidRPr="00A62775">
        <w:t>о</w:t>
      </w:r>
      <w:r w:rsidR="00A62775" w:rsidRPr="00A62775">
        <w:t>го ко</w:t>
      </w:r>
      <w:r w:rsidR="00A62775" w:rsidRPr="00A62775">
        <w:t>н</w:t>
      </w:r>
      <w:r w:rsidR="00A62775" w:rsidRPr="00A62775">
        <w:t>курса «Предприниматель года».</w:t>
      </w:r>
    </w:p>
    <w:p w:rsidR="00237F2C" w:rsidRDefault="00787272" w:rsidP="00285F57">
      <w:pPr>
        <w:jc w:val="both"/>
      </w:pPr>
      <w:r>
        <w:tab/>
        <w:t xml:space="preserve">В мае </w:t>
      </w:r>
      <w:smartTag w:uri="urn:schemas-microsoft-com:office:smarttags" w:element="metricconverter">
        <w:smartTagPr>
          <w:attr w:name="ProductID" w:val="2011 г"/>
        </w:smartTagPr>
        <w:r>
          <w:t>2011 г</w:t>
        </w:r>
      </w:smartTag>
      <w:r>
        <w:t>. прошел областной конкурс</w:t>
      </w:r>
      <w:r w:rsidR="00237F2C">
        <w:t xml:space="preserve"> на звание «Лучший по профессии</w:t>
      </w:r>
      <w:r w:rsidR="004B1B40">
        <w:t>»</w:t>
      </w:r>
      <w:r w:rsidR="00237F2C">
        <w:t>. Среди парикмахеров в номинации «Свадебное плетение» третье место присуждено Федоровой Екатерине Борисовне, парикмахеру-универсалу салона «Биатрис» в г.Валдай</w:t>
      </w:r>
      <w:r w:rsidR="00E95F55">
        <w:t>.</w:t>
      </w:r>
    </w:p>
    <w:p w:rsidR="00AA1671" w:rsidRDefault="00237F2C" w:rsidP="00285F57">
      <w:pPr>
        <w:jc w:val="both"/>
      </w:pPr>
      <w:r>
        <w:tab/>
      </w:r>
      <w:r w:rsidR="00391C0D">
        <w:t>Для комплексной оценки работы предприятий малого и среднего предприним</w:t>
      </w:r>
      <w:r w:rsidR="00391C0D">
        <w:t>а</w:t>
      </w:r>
      <w:r w:rsidR="00391C0D">
        <w:t xml:space="preserve">тельства </w:t>
      </w:r>
      <w:r w:rsidR="00CA6535">
        <w:t xml:space="preserve">было </w:t>
      </w:r>
      <w:r w:rsidR="00391C0D">
        <w:t>пров</w:t>
      </w:r>
      <w:r w:rsidR="00CA6535">
        <w:t>е</w:t>
      </w:r>
      <w:r w:rsidR="00391C0D">
        <w:t>д</w:t>
      </w:r>
      <w:r w:rsidR="00CA6535">
        <w:t>ено</w:t>
      </w:r>
      <w:r w:rsidR="00391C0D">
        <w:t xml:space="preserve"> сплошное статистическое обследование данного сектора экон</w:t>
      </w:r>
      <w:r w:rsidR="00391C0D">
        <w:t>о</w:t>
      </w:r>
      <w:r w:rsidR="00391C0D">
        <w:t>мики.</w:t>
      </w:r>
    </w:p>
    <w:p w:rsidR="00DD5AC0" w:rsidRDefault="00B57F88" w:rsidP="00285F57">
      <w:pPr>
        <w:jc w:val="both"/>
      </w:pPr>
      <w:r>
        <w:tab/>
      </w:r>
    </w:p>
    <w:p w:rsidR="00AA1671" w:rsidRDefault="00AA1671" w:rsidP="00285F57">
      <w:pPr>
        <w:jc w:val="both"/>
      </w:pPr>
    </w:p>
    <w:p w:rsidR="00AA1671" w:rsidRDefault="00AA1671" w:rsidP="00285F57">
      <w:pPr>
        <w:jc w:val="both"/>
      </w:pPr>
      <w:r>
        <w:t xml:space="preserve">Председатель комитета экономического развития </w:t>
      </w:r>
    </w:p>
    <w:p w:rsidR="00AA1671" w:rsidRPr="000852ED" w:rsidRDefault="00AA1671" w:rsidP="00285F57">
      <w:pPr>
        <w:jc w:val="both"/>
      </w:pPr>
      <w:r>
        <w:t xml:space="preserve">Администрации муниципального района                                                        </w:t>
      </w:r>
      <w:r w:rsidR="007E7904">
        <w:t>Г.В.Ерцева</w:t>
      </w:r>
    </w:p>
    <w:sectPr w:rsidR="00AA1671" w:rsidRPr="000852ED" w:rsidSect="000C24C9">
      <w:footerReference w:type="even" r:id="rId14"/>
      <w:footerReference w:type="default" r:id="rId15"/>
      <w:pgSz w:w="11906" w:h="16838"/>
      <w:pgMar w:top="89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3673" w:rsidRDefault="00BC3673">
      <w:r>
        <w:separator/>
      </w:r>
    </w:p>
  </w:endnote>
  <w:endnote w:type="continuationSeparator" w:id="0">
    <w:p w:rsidR="00BC3673" w:rsidRDefault="00BC3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4D" w:rsidRDefault="00032F4D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32F4D" w:rsidRDefault="00032F4D" w:rsidP="001B239B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2F4D" w:rsidRDefault="00032F4D" w:rsidP="009929B8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F24626">
      <w:rPr>
        <w:rStyle w:val="a7"/>
        <w:noProof/>
      </w:rPr>
      <w:t>1</w:t>
    </w:r>
    <w:r>
      <w:rPr>
        <w:rStyle w:val="a7"/>
      </w:rPr>
      <w:fldChar w:fldCharType="end"/>
    </w:r>
  </w:p>
  <w:p w:rsidR="00032F4D" w:rsidRDefault="00032F4D" w:rsidP="001B239B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3673" w:rsidRDefault="00BC3673">
      <w:r>
        <w:separator/>
      </w:r>
    </w:p>
  </w:footnote>
  <w:footnote w:type="continuationSeparator" w:id="0">
    <w:p w:rsidR="00BC3673" w:rsidRDefault="00BC3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F3017"/>
    <w:multiLevelType w:val="singleLevel"/>
    <w:tmpl w:val="43382F52"/>
    <w:lvl w:ilvl="0">
      <w:start w:val="200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15F"/>
    <w:rsid w:val="00000DB2"/>
    <w:rsid w:val="00000E4E"/>
    <w:rsid w:val="000013F2"/>
    <w:rsid w:val="00005A60"/>
    <w:rsid w:val="00010401"/>
    <w:rsid w:val="00010DA9"/>
    <w:rsid w:val="000123D7"/>
    <w:rsid w:val="00013461"/>
    <w:rsid w:val="00016862"/>
    <w:rsid w:val="00017532"/>
    <w:rsid w:val="00021504"/>
    <w:rsid w:val="000219BB"/>
    <w:rsid w:val="00023411"/>
    <w:rsid w:val="0002482B"/>
    <w:rsid w:val="000269B6"/>
    <w:rsid w:val="00027D5B"/>
    <w:rsid w:val="000319B1"/>
    <w:rsid w:val="00032614"/>
    <w:rsid w:val="00032F4D"/>
    <w:rsid w:val="00034B51"/>
    <w:rsid w:val="00034CDA"/>
    <w:rsid w:val="000362DF"/>
    <w:rsid w:val="000421BD"/>
    <w:rsid w:val="00047F0F"/>
    <w:rsid w:val="00051523"/>
    <w:rsid w:val="00053612"/>
    <w:rsid w:val="00055642"/>
    <w:rsid w:val="000575FB"/>
    <w:rsid w:val="00057C11"/>
    <w:rsid w:val="0006227C"/>
    <w:rsid w:val="00062B3A"/>
    <w:rsid w:val="000635EE"/>
    <w:rsid w:val="00066C8B"/>
    <w:rsid w:val="00074CBD"/>
    <w:rsid w:val="000852ED"/>
    <w:rsid w:val="00090427"/>
    <w:rsid w:val="00090AE2"/>
    <w:rsid w:val="00092577"/>
    <w:rsid w:val="00092A80"/>
    <w:rsid w:val="00092D79"/>
    <w:rsid w:val="00095310"/>
    <w:rsid w:val="00096A75"/>
    <w:rsid w:val="000A543C"/>
    <w:rsid w:val="000A5AEF"/>
    <w:rsid w:val="000A615A"/>
    <w:rsid w:val="000A67DC"/>
    <w:rsid w:val="000A6C7E"/>
    <w:rsid w:val="000B1972"/>
    <w:rsid w:val="000C0669"/>
    <w:rsid w:val="000C06ED"/>
    <w:rsid w:val="000C1F34"/>
    <w:rsid w:val="000C24C9"/>
    <w:rsid w:val="000D051B"/>
    <w:rsid w:val="000D2111"/>
    <w:rsid w:val="000D45E3"/>
    <w:rsid w:val="000D6B90"/>
    <w:rsid w:val="000E34F4"/>
    <w:rsid w:val="000E6AFC"/>
    <w:rsid w:val="000F09A6"/>
    <w:rsid w:val="000F40E6"/>
    <w:rsid w:val="000F6AF0"/>
    <w:rsid w:val="000F6DC1"/>
    <w:rsid w:val="00100CAD"/>
    <w:rsid w:val="00100DD3"/>
    <w:rsid w:val="00101083"/>
    <w:rsid w:val="001019D9"/>
    <w:rsid w:val="00101D07"/>
    <w:rsid w:val="001031AB"/>
    <w:rsid w:val="00117481"/>
    <w:rsid w:val="001227B4"/>
    <w:rsid w:val="00130F0A"/>
    <w:rsid w:val="00131E1F"/>
    <w:rsid w:val="00141C62"/>
    <w:rsid w:val="00142C7F"/>
    <w:rsid w:val="0014564A"/>
    <w:rsid w:val="00145B92"/>
    <w:rsid w:val="00153C1C"/>
    <w:rsid w:val="001552D6"/>
    <w:rsid w:val="00156D44"/>
    <w:rsid w:val="0016157D"/>
    <w:rsid w:val="00164C53"/>
    <w:rsid w:val="00170C55"/>
    <w:rsid w:val="001728BD"/>
    <w:rsid w:val="00176B56"/>
    <w:rsid w:val="0018067F"/>
    <w:rsid w:val="00181231"/>
    <w:rsid w:val="0018248B"/>
    <w:rsid w:val="00183199"/>
    <w:rsid w:val="0019395A"/>
    <w:rsid w:val="001939F6"/>
    <w:rsid w:val="00197921"/>
    <w:rsid w:val="001A0B5B"/>
    <w:rsid w:val="001A1D0B"/>
    <w:rsid w:val="001A5D64"/>
    <w:rsid w:val="001A699B"/>
    <w:rsid w:val="001B008D"/>
    <w:rsid w:val="001B0F55"/>
    <w:rsid w:val="001B123E"/>
    <w:rsid w:val="001B239B"/>
    <w:rsid w:val="001C0E41"/>
    <w:rsid w:val="001C196B"/>
    <w:rsid w:val="001C449C"/>
    <w:rsid w:val="001C4ACC"/>
    <w:rsid w:val="001C5281"/>
    <w:rsid w:val="001D1996"/>
    <w:rsid w:val="001D3853"/>
    <w:rsid w:val="001D60DB"/>
    <w:rsid w:val="001E111A"/>
    <w:rsid w:val="001E767A"/>
    <w:rsid w:val="001F18D8"/>
    <w:rsid w:val="00203CAA"/>
    <w:rsid w:val="0020407D"/>
    <w:rsid w:val="00204D9A"/>
    <w:rsid w:val="00207E60"/>
    <w:rsid w:val="00212396"/>
    <w:rsid w:val="0021441C"/>
    <w:rsid w:val="00216607"/>
    <w:rsid w:val="002166E0"/>
    <w:rsid w:val="00216E61"/>
    <w:rsid w:val="00217A6E"/>
    <w:rsid w:val="00217ADB"/>
    <w:rsid w:val="00220DD2"/>
    <w:rsid w:val="00230C4A"/>
    <w:rsid w:val="00231149"/>
    <w:rsid w:val="00233658"/>
    <w:rsid w:val="00237F2C"/>
    <w:rsid w:val="002436D8"/>
    <w:rsid w:val="002466B1"/>
    <w:rsid w:val="0025239F"/>
    <w:rsid w:val="00254FE1"/>
    <w:rsid w:val="00255262"/>
    <w:rsid w:val="00260A5D"/>
    <w:rsid w:val="00264398"/>
    <w:rsid w:val="00267611"/>
    <w:rsid w:val="002739A5"/>
    <w:rsid w:val="00275302"/>
    <w:rsid w:val="00276A0D"/>
    <w:rsid w:val="00283B28"/>
    <w:rsid w:val="00285F57"/>
    <w:rsid w:val="0029140C"/>
    <w:rsid w:val="002926BB"/>
    <w:rsid w:val="002950A5"/>
    <w:rsid w:val="00295CCE"/>
    <w:rsid w:val="002A05D9"/>
    <w:rsid w:val="002A067A"/>
    <w:rsid w:val="002A1348"/>
    <w:rsid w:val="002A4974"/>
    <w:rsid w:val="002A504A"/>
    <w:rsid w:val="002A633E"/>
    <w:rsid w:val="002A7087"/>
    <w:rsid w:val="002A7208"/>
    <w:rsid w:val="002A7711"/>
    <w:rsid w:val="002B21CD"/>
    <w:rsid w:val="002B65B1"/>
    <w:rsid w:val="002C01C1"/>
    <w:rsid w:val="002C04DE"/>
    <w:rsid w:val="002D3127"/>
    <w:rsid w:val="002D435D"/>
    <w:rsid w:val="002D6EB3"/>
    <w:rsid w:val="002E38C0"/>
    <w:rsid w:val="002E5208"/>
    <w:rsid w:val="002E5E35"/>
    <w:rsid w:val="002E618D"/>
    <w:rsid w:val="002F059B"/>
    <w:rsid w:val="002F5EC1"/>
    <w:rsid w:val="0030336A"/>
    <w:rsid w:val="0031238A"/>
    <w:rsid w:val="00312D72"/>
    <w:rsid w:val="00314836"/>
    <w:rsid w:val="00315454"/>
    <w:rsid w:val="00317A62"/>
    <w:rsid w:val="00320F56"/>
    <w:rsid w:val="00325B0C"/>
    <w:rsid w:val="00326129"/>
    <w:rsid w:val="003271D4"/>
    <w:rsid w:val="0032772A"/>
    <w:rsid w:val="003307D7"/>
    <w:rsid w:val="003322F6"/>
    <w:rsid w:val="003336A1"/>
    <w:rsid w:val="00334474"/>
    <w:rsid w:val="003364FE"/>
    <w:rsid w:val="00336849"/>
    <w:rsid w:val="00336EFE"/>
    <w:rsid w:val="003401BE"/>
    <w:rsid w:val="003403F8"/>
    <w:rsid w:val="00340AC2"/>
    <w:rsid w:val="00343230"/>
    <w:rsid w:val="00343810"/>
    <w:rsid w:val="00343B49"/>
    <w:rsid w:val="0035330F"/>
    <w:rsid w:val="0036042E"/>
    <w:rsid w:val="00360BF3"/>
    <w:rsid w:val="00363AA4"/>
    <w:rsid w:val="00363CA9"/>
    <w:rsid w:val="00365BA8"/>
    <w:rsid w:val="003711AF"/>
    <w:rsid w:val="003729AA"/>
    <w:rsid w:val="00375812"/>
    <w:rsid w:val="00380080"/>
    <w:rsid w:val="00383B74"/>
    <w:rsid w:val="00384D14"/>
    <w:rsid w:val="00385EAF"/>
    <w:rsid w:val="00391C0D"/>
    <w:rsid w:val="00393C2C"/>
    <w:rsid w:val="00393E65"/>
    <w:rsid w:val="00396FA4"/>
    <w:rsid w:val="003A2069"/>
    <w:rsid w:val="003B1A7F"/>
    <w:rsid w:val="003B1F3D"/>
    <w:rsid w:val="003B2D4F"/>
    <w:rsid w:val="003B3546"/>
    <w:rsid w:val="003B505B"/>
    <w:rsid w:val="003B67AA"/>
    <w:rsid w:val="003B6E48"/>
    <w:rsid w:val="003C27A2"/>
    <w:rsid w:val="003C46C7"/>
    <w:rsid w:val="003C4904"/>
    <w:rsid w:val="003C53DD"/>
    <w:rsid w:val="003C54C2"/>
    <w:rsid w:val="003C6E52"/>
    <w:rsid w:val="003D24A3"/>
    <w:rsid w:val="003D24AF"/>
    <w:rsid w:val="003D3AC1"/>
    <w:rsid w:val="003D5742"/>
    <w:rsid w:val="003D73FA"/>
    <w:rsid w:val="003E16E7"/>
    <w:rsid w:val="003E426F"/>
    <w:rsid w:val="003E4292"/>
    <w:rsid w:val="003E483D"/>
    <w:rsid w:val="003F0661"/>
    <w:rsid w:val="00404094"/>
    <w:rsid w:val="00406131"/>
    <w:rsid w:val="00413B52"/>
    <w:rsid w:val="0041740A"/>
    <w:rsid w:val="00422D0F"/>
    <w:rsid w:val="00423E68"/>
    <w:rsid w:val="0042483A"/>
    <w:rsid w:val="004275DD"/>
    <w:rsid w:val="004323D4"/>
    <w:rsid w:val="0043288A"/>
    <w:rsid w:val="00433527"/>
    <w:rsid w:val="004443E3"/>
    <w:rsid w:val="00446373"/>
    <w:rsid w:val="00447701"/>
    <w:rsid w:val="00447714"/>
    <w:rsid w:val="00451786"/>
    <w:rsid w:val="00452C60"/>
    <w:rsid w:val="0045488E"/>
    <w:rsid w:val="00461597"/>
    <w:rsid w:val="00461785"/>
    <w:rsid w:val="00465B99"/>
    <w:rsid w:val="004736A2"/>
    <w:rsid w:val="00481DBF"/>
    <w:rsid w:val="004841F4"/>
    <w:rsid w:val="00491E12"/>
    <w:rsid w:val="004928DE"/>
    <w:rsid w:val="004A2782"/>
    <w:rsid w:val="004A56A7"/>
    <w:rsid w:val="004A6817"/>
    <w:rsid w:val="004A68A4"/>
    <w:rsid w:val="004A7E6C"/>
    <w:rsid w:val="004B1B40"/>
    <w:rsid w:val="004B234B"/>
    <w:rsid w:val="004C636A"/>
    <w:rsid w:val="004C6B84"/>
    <w:rsid w:val="004C7F56"/>
    <w:rsid w:val="004D0D60"/>
    <w:rsid w:val="004D21F8"/>
    <w:rsid w:val="004D364D"/>
    <w:rsid w:val="004D4C3A"/>
    <w:rsid w:val="004E5640"/>
    <w:rsid w:val="004E7457"/>
    <w:rsid w:val="004E7971"/>
    <w:rsid w:val="004F1EBB"/>
    <w:rsid w:val="004F2BFA"/>
    <w:rsid w:val="004F3E37"/>
    <w:rsid w:val="004F3EBB"/>
    <w:rsid w:val="004F5691"/>
    <w:rsid w:val="004F5AF9"/>
    <w:rsid w:val="004F7ACA"/>
    <w:rsid w:val="004F7EDE"/>
    <w:rsid w:val="005010A3"/>
    <w:rsid w:val="00501768"/>
    <w:rsid w:val="00506B07"/>
    <w:rsid w:val="00510200"/>
    <w:rsid w:val="005131AF"/>
    <w:rsid w:val="005132E1"/>
    <w:rsid w:val="0051330B"/>
    <w:rsid w:val="005150C6"/>
    <w:rsid w:val="00517D38"/>
    <w:rsid w:val="00521062"/>
    <w:rsid w:val="00524FFE"/>
    <w:rsid w:val="00526C07"/>
    <w:rsid w:val="00527DAB"/>
    <w:rsid w:val="00533292"/>
    <w:rsid w:val="00541737"/>
    <w:rsid w:val="005464F6"/>
    <w:rsid w:val="005522A0"/>
    <w:rsid w:val="00552A33"/>
    <w:rsid w:val="00557E52"/>
    <w:rsid w:val="00560D87"/>
    <w:rsid w:val="005624ED"/>
    <w:rsid w:val="005645B5"/>
    <w:rsid w:val="00572EDB"/>
    <w:rsid w:val="0057375A"/>
    <w:rsid w:val="00585CE8"/>
    <w:rsid w:val="00586E18"/>
    <w:rsid w:val="00587B55"/>
    <w:rsid w:val="00590A42"/>
    <w:rsid w:val="00591847"/>
    <w:rsid w:val="005927FE"/>
    <w:rsid w:val="005928F2"/>
    <w:rsid w:val="005960E2"/>
    <w:rsid w:val="005975A4"/>
    <w:rsid w:val="0059792D"/>
    <w:rsid w:val="005A01D1"/>
    <w:rsid w:val="005A264B"/>
    <w:rsid w:val="005A4C11"/>
    <w:rsid w:val="005B16D4"/>
    <w:rsid w:val="005B1EF3"/>
    <w:rsid w:val="005B54DD"/>
    <w:rsid w:val="005C6D62"/>
    <w:rsid w:val="005D2919"/>
    <w:rsid w:val="005D3EA4"/>
    <w:rsid w:val="005D4CE6"/>
    <w:rsid w:val="005D4F3E"/>
    <w:rsid w:val="005E6B45"/>
    <w:rsid w:val="005E74BC"/>
    <w:rsid w:val="005F271B"/>
    <w:rsid w:val="005F3E7E"/>
    <w:rsid w:val="005F5DAD"/>
    <w:rsid w:val="005F7C80"/>
    <w:rsid w:val="006001AC"/>
    <w:rsid w:val="00600EF7"/>
    <w:rsid w:val="00601D75"/>
    <w:rsid w:val="0060466F"/>
    <w:rsid w:val="00606C82"/>
    <w:rsid w:val="006109D1"/>
    <w:rsid w:val="006114BB"/>
    <w:rsid w:val="006117FE"/>
    <w:rsid w:val="00614BE6"/>
    <w:rsid w:val="00615520"/>
    <w:rsid w:val="006160B9"/>
    <w:rsid w:val="00622359"/>
    <w:rsid w:val="00623BBD"/>
    <w:rsid w:val="00624076"/>
    <w:rsid w:val="00632925"/>
    <w:rsid w:val="00636C44"/>
    <w:rsid w:val="0064010E"/>
    <w:rsid w:val="00641012"/>
    <w:rsid w:val="00641D31"/>
    <w:rsid w:val="00642D76"/>
    <w:rsid w:val="00644F77"/>
    <w:rsid w:val="0065112A"/>
    <w:rsid w:val="00660B3C"/>
    <w:rsid w:val="006638D0"/>
    <w:rsid w:val="00664CAF"/>
    <w:rsid w:val="006773B9"/>
    <w:rsid w:val="0068642C"/>
    <w:rsid w:val="00690FC5"/>
    <w:rsid w:val="0069466F"/>
    <w:rsid w:val="0069719C"/>
    <w:rsid w:val="006A1474"/>
    <w:rsid w:val="006B3F24"/>
    <w:rsid w:val="006B510C"/>
    <w:rsid w:val="006C0D66"/>
    <w:rsid w:val="006C2EED"/>
    <w:rsid w:val="006C3F84"/>
    <w:rsid w:val="006D05CB"/>
    <w:rsid w:val="006D4029"/>
    <w:rsid w:val="006D4D01"/>
    <w:rsid w:val="006D4F27"/>
    <w:rsid w:val="006D5FF5"/>
    <w:rsid w:val="006D6027"/>
    <w:rsid w:val="006D7CD5"/>
    <w:rsid w:val="006E0960"/>
    <w:rsid w:val="006E135E"/>
    <w:rsid w:val="006E63F4"/>
    <w:rsid w:val="006E778C"/>
    <w:rsid w:val="006F0AAE"/>
    <w:rsid w:val="006F6CBC"/>
    <w:rsid w:val="00700676"/>
    <w:rsid w:val="007030B0"/>
    <w:rsid w:val="0070369F"/>
    <w:rsid w:val="00710EE6"/>
    <w:rsid w:val="00710EF5"/>
    <w:rsid w:val="00714C8E"/>
    <w:rsid w:val="00715005"/>
    <w:rsid w:val="0072054E"/>
    <w:rsid w:val="00720B2C"/>
    <w:rsid w:val="007221ED"/>
    <w:rsid w:val="0072223C"/>
    <w:rsid w:val="00725010"/>
    <w:rsid w:val="00725ADD"/>
    <w:rsid w:val="00726986"/>
    <w:rsid w:val="007312E7"/>
    <w:rsid w:val="00731C86"/>
    <w:rsid w:val="0073227E"/>
    <w:rsid w:val="00740093"/>
    <w:rsid w:val="00744FFA"/>
    <w:rsid w:val="00746B2A"/>
    <w:rsid w:val="0075112E"/>
    <w:rsid w:val="00754F55"/>
    <w:rsid w:val="00756C50"/>
    <w:rsid w:val="00762A1B"/>
    <w:rsid w:val="0076524C"/>
    <w:rsid w:val="007673BB"/>
    <w:rsid w:val="007708D8"/>
    <w:rsid w:val="007804D3"/>
    <w:rsid w:val="0078480C"/>
    <w:rsid w:val="00787272"/>
    <w:rsid w:val="00787C33"/>
    <w:rsid w:val="00790B55"/>
    <w:rsid w:val="0079481B"/>
    <w:rsid w:val="007A10D5"/>
    <w:rsid w:val="007A1C98"/>
    <w:rsid w:val="007A3681"/>
    <w:rsid w:val="007B36EB"/>
    <w:rsid w:val="007B395F"/>
    <w:rsid w:val="007C580B"/>
    <w:rsid w:val="007D2A6A"/>
    <w:rsid w:val="007D4F70"/>
    <w:rsid w:val="007E3B3D"/>
    <w:rsid w:val="007E700F"/>
    <w:rsid w:val="007E7904"/>
    <w:rsid w:val="007F100F"/>
    <w:rsid w:val="007F5E79"/>
    <w:rsid w:val="00802FC9"/>
    <w:rsid w:val="0080557F"/>
    <w:rsid w:val="0080601F"/>
    <w:rsid w:val="00810D3E"/>
    <w:rsid w:val="00813A1C"/>
    <w:rsid w:val="008157E3"/>
    <w:rsid w:val="00816765"/>
    <w:rsid w:val="008310D7"/>
    <w:rsid w:val="00833B47"/>
    <w:rsid w:val="00833D9D"/>
    <w:rsid w:val="00836861"/>
    <w:rsid w:val="00837C3B"/>
    <w:rsid w:val="00837F4A"/>
    <w:rsid w:val="008426F2"/>
    <w:rsid w:val="00842C3C"/>
    <w:rsid w:val="00843AA5"/>
    <w:rsid w:val="00852917"/>
    <w:rsid w:val="00857008"/>
    <w:rsid w:val="00857EC9"/>
    <w:rsid w:val="00860834"/>
    <w:rsid w:val="00861554"/>
    <w:rsid w:val="008649B1"/>
    <w:rsid w:val="00866373"/>
    <w:rsid w:val="00867D63"/>
    <w:rsid w:val="00872E7C"/>
    <w:rsid w:val="008764F7"/>
    <w:rsid w:val="008778FF"/>
    <w:rsid w:val="0088256C"/>
    <w:rsid w:val="00883CA1"/>
    <w:rsid w:val="00883FDF"/>
    <w:rsid w:val="00885915"/>
    <w:rsid w:val="00885A3E"/>
    <w:rsid w:val="008860D3"/>
    <w:rsid w:val="00887C52"/>
    <w:rsid w:val="00890CAE"/>
    <w:rsid w:val="008917E4"/>
    <w:rsid w:val="00897AA4"/>
    <w:rsid w:val="008A324C"/>
    <w:rsid w:val="008B0D0D"/>
    <w:rsid w:val="008B243C"/>
    <w:rsid w:val="008B42BA"/>
    <w:rsid w:val="008B7040"/>
    <w:rsid w:val="008C01EF"/>
    <w:rsid w:val="008C0A3E"/>
    <w:rsid w:val="008C42FC"/>
    <w:rsid w:val="008C5B5C"/>
    <w:rsid w:val="008C7760"/>
    <w:rsid w:val="008C7E1F"/>
    <w:rsid w:val="008D4BBF"/>
    <w:rsid w:val="008D7EDB"/>
    <w:rsid w:val="008E0D12"/>
    <w:rsid w:val="008E2BE8"/>
    <w:rsid w:val="008E2E61"/>
    <w:rsid w:val="008E6ECA"/>
    <w:rsid w:val="008F6918"/>
    <w:rsid w:val="008F74FD"/>
    <w:rsid w:val="00900F39"/>
    <w:rsid w:val="00916B4E"/>
    <w:rsid w:val="00916E75"/>
    <w:rsid w:val="00917FC7"/>
    <w:rsid w:val="0092065B"/>
    <w:rsid w:val="00920838"/>
    <w:rsid w:val="00924547"/>
    <w:rsid w:val="00927E2A"/>
    <w:rsid w:val="00931147"/>
    <w:rsid w:val="0093188E"/>
    <w:rsid w:val="00932EA1"/>
    <w:rsid w:val="009346D2"/>
    <w:rsid w:val="00945601"/>
    <w:rsid w:val="00947206"/>
    <w:rsid w:val="00950A98"/>
    <w:rsid w:val="009529CD"/>
    <w:rsid w:val="00953CA6"/>
    <w:rsid w:val="00955094"/>
    <w:rsid w:val="009558D3"/>
    <w:rsid w:val="00957704"/>
    <w:rsid w:val="0096319B"/>
    <w:rsid w:val="00964BF8"/>
    <w:rsid w:val="0097092F"/>
    <w:rsid w:val="00971B6F"/>
    <w:rsid w:val="009812C9"/>
    <w:rsid w:val="00983EFA"/>
    <w:rsid w:val="00984F1B"/>
    <w:rsid w:val="009929B8"/>
    <w:rsid w:val="00995C10"/>
    <w:rsid w:val="009A011C"/>
    <w:rsid w:val="009A3440"/>
    <w:rsid w:val="009B36AD"/>
    <w:rsid w:val="009B42FC"/>
    <w:rsid w:val="009B62E4"/>
    <w:rsid w:val="009B7595"/>
    <w:rsid w:val="009D089B"/>
    <w:rsid w:val="009D69B6"/>
    <w:rsid w:val="009E48E0"/>
    <w:rsid w:val="009E55A7"/>
    <w:rsid w:val="009E6DA3"/>
    <w:rsid w:val="009E6FA2"/>
    <w:rsid w:val="009E721A"/>
    <w:rsid w:val="009F3C35"/>
    <w:rsid w:val="009F653E"/>
    <w:rsid w:val="00A0030A"/>
    <w:rsid w:val="00A024AE"/>
    <w:rsid w:val="00A07488"/>
    <w:rsid w:val="00A14CDC"/>
    <w:rsid w:val="00A26D49"/>
    <w:rsid w:val="00A27B9D"/>
    <w:rsid w:val="00A32EC6"/>
    <w:rsid w:val="00A40A17"/>
    <w:rsid w:val="00A43B2C"/>
    <w:rsid w:val="00A4468E"/>
    <w:rsid w:val="00A46BFF"/>
    <w:rsid w:val="00A4718A"/>
    <w:rsid w:val="00A47233"/>
    <w:rsid w:val="00A514B9"/>
    <w:rsid w:val="00A52922"/>
    <w:rsid w:val="00A552BA"/>
    <w:rsid w:val="00A62775"/>
    <w:rsid w:val="00A62854"/>
    <w:rsid w:val="00A62AFF"/>
    <w:rsid w:val="00A63271"/>
    <w:rsid w:val="00A63882"/>
    <w:rsid w:val="00A647F2"/>
    <w:rsid w:val="00A738D7"/>
    <w:rsid w:val="00A825BC"/>
    <w:rsid w:val="00A8622B"/>
    <w:rsid w:val="00A87A0F"/>
    <w:rsid w:val="00A91496"/>
    <w:rsid w:val="00A97FB0"/>
    <w:rsid w:val="00AA1671"/>
    <w:rsid w:val="00AA3BE3"/>
    <w:rsid w:val="00AA5A36"/>
    <w:rsid w:val="00AB2B60"/>
    <w:rsid w:val="00AB2E76"/>
    <w:rsid w:val="00AB5724"/>
    <w:rsid w:val="00AB6193"/>
    <w:rsid w:val="00AB61CD"/>
    <w:rsid w:val="00AB700F"/>
    <w:rsid w:val="00AC168B"/>
    <w:rsid w:val="00AC2F21"/>
    <w:rsid w:val="00AC3864"/>
    <w:rsid w:val="00AC5BC7"/>
    <w:rsid w:val="00AD3F21"/>
    <w:rsid w:val="00AD427F"/>
    <w:rsid w:val="00AD67FE"/>
    <w:rsid w:val="00AE1604"/>
    <w:rsid w:val="00AE32CD"/>
    <w:rsid w:val="00AE56A0"/>
    <w:rsid w:val="00AF1FA2"/>
    <w:rsid w:val="00AF2DD5"/>
    <w:rsid w:val="00AF56C1"/>
    <w:rsid w:val="00B020A2"/>
    <w:rsid w:val="00B05389"/>
    <w:rsid w:val="00B072B0"/>
    <w:rsid w:val="00B123E7"/>
    <w:rsid w:val="00B128C7"/>
    <w:rsid w:val="00B13C16"/>
    <w:rsid w:val="00B14804"/>
    <w:rsid w:val="00B1484A"/>
    <w:rsid w:val="00B22F29"/>
    <w:rsid w:val="00B271F3"/>
    <w:rsid w:val="00B30007"/>
    <w:rsid w:val="00B3388E"/>
    <w:rsid w:val="00B3495D"/>
    <w:rsid w:val="00B362D2"/>
    <w:rsid w:val="00B4164F"/>
    <w:rsid w:val="00B41D0B"/>
    <w:rsid w:val="00B42745"/>
    <w:rsid w:val="00B42AE7"/>
    <w:rsid w:val="00B47468"/>
    <w:rsid w:val="00B50B11"/>
    <w:rsid w:val="00B5686D"/>
    <w:rsid w:val="00B5760A"/>
    <w:rsid w:val="00B57DF0"/>
    <w:rsid w:val="00B57F88"/>
    <w:rsid w:val="00B6265F"/>
    <w:rsid w:val="00B64249"/>
    <w:rsid w:val="00B71488"/>
    <w:rsid w:val="00B831F9"/>
    <w:rsid w:val="00B83E8F"/>
    <w:rsid w:val="00B85A31"/>
    <w:rsid w:val="00B90171"/>
    <w:rsid w:val="00B96A82"/>
    <w:rsid w:val="00B97109"/>
    <w:rsid w:val="00B97914"/>
    <w:rsid w:val="00BA25FF"/>
    <w:rsid w:val="00BA6E19"/>
    <w:rsid w:val="00BA771B"/>
    <w:rsid w:val="00BA79B0"/>
    <w:rsid w:val="00BB0E53"/>
    <w:rsid w:val="00BB1908"/>
    <w:rsid w:val="00BB503D"/>
    <w:rsid w:val="00BC06E5"/>
    <w:rsid w:val="00BC1ED6"/>
    <w:rsid w:val="00BC23F7"/>
    <w:rsid w:val="00BC25A8"/>
    <w:rsid w:val="00BC33ED"/>
    <w:rsid w:val="00BC3673"/>
    <w:rsid w:val="00BD1454"/>
    <w:rsid w:val="00BD5E9D"/>
    <w:rsid w:val="00BD769B"/>
    <w:rsid w:val="00BE1C69"/>
    <w:rsid w:val="00BE2120"/>
    <w:rsid w:val="00BE2BD9"/>
    <w:rsid w:val="00BE5A13"/>
    <w:rsid w:val="00BE788D"/>
    <w:rsid w:val="00BF1900"/>
    <w:rsid w:val="00BF3FC6"/>
    <w:rsid w:val="00BF58E0"/>
    <w:rsid w:val="00BF6606"/>
    <w:rsid w:val="00C00D59"/>
    <w:rsid w:val="00C034AB"/>
    <w:rsid w:val="00C065CC"/>
    <w:rsid w:val="00C06E50"/>
    <w:rsid w:val="00C07444"/>
    <w:rsid w:val="00C102AD"/>
    <w:rsid w:val="00C13233"/>
    <w:rsid w:val="00C132DE"/>
    <w:rsid w:val="00C14222"/>
    <w:rsid w:val="00C157D0"/>
    <w:rsid w:val="00C20037"/>
    <w:rsid w:val="00C20C79"/>
    <w:rsid w:val="00C23A4A"/>
    <w:rsid w:val="00C242B7"/>
    <w:rsid w:val="00C2501F"/>
    <w:rsid w:val="00C2702F"/>
    <w:rsid w:val="00C27264"/>
    <w:rsid w:val="00C27508"/>
    <w:rsid w:val="00C34DB1"/>
    <w:rsid w:val="00C366E0"/>
    <w:rsid w:val="00C36E76"/>
    <w:rsid w:val="00C400B0"/>
    <w:rsid w:val="00C41419"/>
    <w:rsid w:val="00C415B1"/>
    <w:rsid w:val="00C421E6"/>
    <w:rsid w:val="00C4431B"/>
    <w:rsid w:val="00C44781"/>
    <w:rsid w:val="00C45B0E"/>
    <w:rsid w:val="00C473F1"/>
    <w:rsid w:val="00C5054F"/>
    <w:rsid w:val="00C51943"/>
    <w:rsid w:val="00C55518"/>
    <w:rsid w:val="00C57E64"/>
    <w:rsid w:val="00C60C4E"/>
    <w:rsid w:val="00C623D6"/>
    <w:rsid w:val="00C63313"/>
    <w:rsid w:val="00C701CA"/>
    <w:rsid w:val="00C71428"/>
    <w:rsid w:val="00C715B9"/>
    <w:rsid w:val="00C72CE2"/>
    <w:rsid w:val="00C76F84"/>
    <w:rsid w:val="00C82D49"/>
    <w:rsid w:val="00C9006D"/>
    <w:rsid w:val="00C926DD"/>
    <w:rsid w:val="00C932C2"/>
    <w:rsid w:val="00C93D19"/>
    <w:rsid w:val="00C9410F"/>
    <w:rsid w:val="00C95E8C"/>
    <w:rsid w:val="00CA13ED"/>
    <w:rsid w:val="00CA373A"/>
    <w:rsid w:val="00CA3AEA"/>
    <w:rsid w:val="00CA3EE7"/>
    <w:rsid w:val="00CA6535"/>
    <w:rsid w:val="00CA6B35"/>
    <w:rsid w:val="00CA759E"/>
    <w:rsid w:val="00CA7D0F"/>
    <w:rsid w:val="00CB2A7D"/>
    <w:rsid w:val="00CB3667"/>
    <w:rsid w:val="00CB650C"/>
    <w:rsid w:val="00CC1E32"/>
    <w:rsid w:val="00CD1A68"/>
    <w:rsid w:val="00CD4334"/>
    <w:rsid w:val="00CD51C6"/>
    <w:rsid w:val="00CE1128"/>
    <w:rsid w:val="00CF2C7C"/>
    <w:rsid w:val="00CF625C"/>
    <w:rsid w:val="00CF79A6"/>
    <w:rsid w:val="00D00450"/>
    <w:rsid w:val="00D032E4"/>
    <w:rsid w:val="00D06A00"/>
    <w:rsid w:val="00D10761"/>
    <w:rsid w:val="00D13E86"/>
    <w:rsid w:val="00D15DF8"/>
    <w:rsid w:val="00D171CD"/>
    <w:rsid w:val="00D217CE"/>
    <w:rsid w:val="00D21F9E"/>
    <w:rsid w:val="00D2374C"/>
    <w:rsid w:val="00D252AB"/>
    <w:rsid w:val="00D26A60"/>
    <w:rsid w:val="00D371AD"/>
    <w:rsid w:val="00D3774A"/>
    <w:rsid w:val="00D44476"/>
    <w:rsid w:val="00D46482"/>
    <w:rsid w:val="00D559AD"/>
    <w:rsid w:val="00D55D6D"/>
    <w:rsid w:val="00D55FB0"/>
    <w:rsid w:val="00D67D1C"/>
    <w:rsid w:val="00D709DD"/>
    <w:rsid w:val="00D812C4"/>
    <w:rsid w:val="00D82C58"/>
    <w:rsid w:val="00D91364"/>
    <w:rsid w:val="00D91D8F"/>
    <w:rsid w:val="00D92C77"/>
    <w:rsid w:val="00D93937"/>
    <w:rsid w:val="00D94775"/>
    <w:rsid w:val="00D96CA9"/>
    <w:rsid w:val="00D96D89"/>
    <w:rsid w:val="00DA00E5"/>
    <w:rsid w:val="00DA099A"/>
    <w:rsid w:val="00DA18D6"/>
    <w:rsid w:val="00DA3B4C"/>
    <w:rsid w:val="00DA4837"/>
    <w:rsid w:val="00DB222B"/>
    <w:rsid w:val="00DB3D02"/>
    <w:rsid w:val="00DB5DA3"/>
    <w:rsid w:val="00DC013D"/>
    <w:rsid w:val="00DC0B4A"/>
    <w:rsid w:val="00DC2A4D"/>
    <w:rsid w:val="00DC3D5A"/>
    <w:rsid w:val="00DC5730"/>
    <w:rsid w:val="00DD07BC"/>
    <w:rsid w:val="00DD3DA7"/>
    <w:rsid w:val="00DD5320"/>
    <w:rsid w:val="00DD5AC0"/>
    <w:rsid w:val="00DE301D"/>
    <w:rsid w:val="00DE3426"/>
    <w:rsid w:val="00DE542C"/>
    <w:rsid w:val="00DF1F3E"/>
    <w:rsid w:val="00DF2A58"/>
    <w:rsid w:val="00DF2A9E"/>
    <w:rsid w:val="00DF5920"/>
    <w:rsid w:val="00E0246A"/>
    <w:rsid w:val="00E112FC"/>
    <w:rsid w:val="00E13309"/>
    <w:rsid w:val="00E167B1"/>
    <w:rsid w:val="00E175AD"/>
    <w:rsid w:val="00E203ED"/>
    <w:rsid w:val="00E20700"/>
    <w:rsid w:val="00E21BE1"/>
    <w:rsid w:val="00E220C0"/>
    <w:rsid w:val="00E22BF7"/>
    <w:rsid w:val="00E23E7D"/>
    <w:rsid w:val="00E26EE5"/>
    <w:rsid w:val="00E46BDC"/>
    <w:rsid w:val="00E525FA"/>
    <w:rsid w:val="00E52C73"/>
    <w:rsid w:val="00E54A25"/>
    <w:rsid w:val="00E61583"/>
    <w:rsid w:val="00E63791"/>
    <w:rsid w:val="00E70346"/>
    <w:rsid w:val="00E7438F"/>
    <w:rsid w:val="00E75477"/>
    <w:rsid w:val="00E7704D"/>
    <w:rsid w:val="00E84286"/>
    <w:rsid w:val="00E84AB7"/>
    <w:rsid w:val="00E913C9"/>
    <w:rsid w:val="00E93CDC"/>
    <w:rsid w:val="00E95F55"/>
    <w:rsid w:val="00E96386"/>
    <w:rsid w:val="00EA050C"/>
    <w:rsid w:val="00EA27E0"/>
    <w:rsid w:val="00EA30D3"/>
    <w:rsid w:val="00EA37F4"/>
    <w:rsid w:val="00EA5EFB"/>
    <w:rsid w:val="00EB0316"/>
    <w:rsid w:val="00EB0CBB"/>
    <w:rsid w:val="00EB2CF4"/>
    <w:rsid w:val="00EB415F"/>
    <w:rsid w:val="00EB51C0"/>
    <w:rsid w:val="00EC02A0"/>
    <w:rsid w:val="00EC1C18"/>
    <w:rsid w:val="00EC29C9"/>
    <w:rsid w:val="00EC688A"/>
    <w:rsid w:val="00ED12AB"/>
    <w:rsid w:val="00ED25D8"/>
    <w:rsid w:val="00ED2D49"/>
    <w:rsid w:val="00ED552C"/>
    <w:rsid w:val="00ED797B"/>
    <w:rsid w:val="00EE345D"/>
    <w:rsid w:val="00EF038B"/>
    <w:rsid w:val="00EF37BD"/>
    <w:rsid w:val="00EF3E21"/>
    <w:rsid w:val="00EF4AC9"/>
    <w:rsid w:val="00EF4EAC"/>
    <w:rsid w:val="00EF54B9"/>
    <w:rsid w:val="00F009CD"/>
    <w:rsid w:val="00F03F68"/>
    <w:rsid w:val="00F104DA"/>
    <w:rsid w:val="00F12A53"/>
    <w:rsid w:val="00F14577"/>
    <w:rsid w:val="00F1540B"/>
    <w:rsid w:val="00F15EC0"/>
    <w:rsid w:val="00F16B78"/>
    <w:rsid w:val="00F16EF3"/>
    <w:rsid w:val="00F23AF8"/>
    <w:rsid w:val="00F24626"/>
    <w:rsid w:val="00F255B3"/>
    <w:rsid w:val="00F26127"/>
    <w:rsid w:val="00F31D6D"/>
    <w:rsid w:val="00F32340"/>
    <w:rsid w:val="00F32546"/>
    <w:rsid w:val="00F34754"/>
    <w:rsid w:val="00F43487"/>
    <w:rsid w:val="00F4369B"/>
    <w:rsid w:val="00F472DA"/>
    <w:rsid w:val="00F51EBD"/>
    <w:rsid w:val="00F54EC7"/>
    <w:rsid w:val="00F5510D"/>
    <w:rsid w:val="00F5533A"/>
    <w:rsid w:val="00F5543B"/>
    <w:rsid w:val="00F557EA"/>
    <w:rsid w:val="00F57947"/>
    <w:rsid w:val="00F61312"/>
    <w:rsid w:val="00F61B1B"/>
    <w:rsid w:val="00F61F04"/>
    <w:rsid w:val="00F63F37"/>
    <w:rsid w:val="00F6489E"/>
    <w:rsid w:val="00F764B2"/>
    <w:rsid w:val="00F77665"/>
    <w:rsid w:val="00F841CB"/>
    <w:rsid w:val="00F84AB9"/>
    <w:rsid w:val="00F91642"/>
    <w:rsid w:val="00FA5415"/>
    <w:rsid w:val="00FB0F22"/>
    <w:rsid w:val="00FC0181"/>
    <w:rsid w:val="00FC0282"/>
    <w:rsid w:val="00FC3D95"/>
    <w:rsid w:val="00FC77E9"/>
    <w:rsid w:val="00FD05C2"/>
    <w:rsid w:val="00FD153B"/>
    <w:rsid w:val="00FD1EFD"/>
    <w:rsid w:val="00FD2CB3"/>
    <w:rsid w:val="00FD4157"/>
    <w:rsid w:val="00FD49AC"/>
    <w:rsid w:val="00FD5764"/>
    <w:rsid w:val="00FE0975"/>
    <w:rsid w:val="00FE1EF0"/>
    <w:rsid w:val="00FE2644"/>
    <w:rsid w:val="00FE76A6"/>
    <w:rsid w:val="00FF33FC"/>
    <w:rsid w:val="00FF4288"/>
    <w:rsid w:val="00FF5200"/>
    <w:rsid w:val="00FF5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basedOn w:val="a0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rsid w:val="00F34754"/>
    <w:pPr>
      <w:ind w:firstLine="567"/>
    </w:pPr>
    <w:rPr>
      <w:sz w:val="28"/>
      <w:szCs w:val="20"/>
    </w:rPr>
  </w:style>
  <w:style w:type="paragraph" w:customStyle="1" w:styleId="ConsNormal">
    <w:name w:val="ConsNormal"/>
    <w:rsid w:val="00D96D89"/>
    <w:pPr>
      <w:widowControl w:val="0"/>
      <w:ind w:right="19772" w:firstLine="720"/>
    </w:pPr>
    <w:rPr>
      <w:rFonts w:ascii="Arial" w:hAnsi="Arial"/>
      <w:snapToGrid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B6E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B42745"/>
    <w:pPr>
      <w:spacing w:after="120"/>
    </w:pPr>
  </w:style>
  <w:style w:type="character" w:customStyle="1" w:styleId="a5">
    <w:name w:val="Основной текст Знак"/>
    <w:basedOn w:val="a0"/>
    <w:link w:val="a4"/>
    <w:rsid w:val="00B42745"/>
    <w:rPr>
      <w:sz w:val="24"/>
      <w:szCs w:val="24"/>
      <w:lang w:val="ru-RU" w:eastAsia="ru-RU" w:bidi="ar-SA"/>
    </w:rPr>
  </w:style>
  <w:style w:type="paragraph" w:styleId="a6">
    <w:name w:val="footer"/>
    <w:basedOn w:val="a"/>
    <w:rsid w:val="001B239B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1B239B"/>
  </w:style>
  <w:style w:type="paragraph" w:styleId="a8">
    <w:name w:val="Title"/>
    <w:basedOn w:val="a"/>
    <w:qFormat/>
    <w:rsid w:val="00F34754"/>
    <w:pPr>
      <w:jc w:val="center"/>
    </w:pPr>
    <w:rPr>
      <w:b/>
      <w:sz w:val="36"/>
      <w:szCs w:val="20"/>
    </w:rPr>
  </w:style>
  <w:style w:type="paragraph" w:styleId="a9">
    <w:name w:val="Body Text Indent"/>
    <w:basedOn w:val="a"/>
    <w:rsid w:val="00F34754"/>
    <w:pPr>
      <w:ind w:firstLine="567"/>
    </w:pPr>
    <w:rPr>
      <w:sz w:val="28"/>
      <w:szCs w:val="20"/>
    </w:rPr>
  </w:style>
  <w:style w:type="paragraph" w:customStyle="1" w:styleId="ConsNormal">
    <w:name w:val="ConsNormal"/>
    <w:rsid w:val="00D96D89"/>
    <w:pPr>
      <w:widowControl w:val="0"/>
      <w:ind w:right="19772" w:firstLine="720"/>
    </w:pPr>
    <w:rPr>
      <w:rFonts w:ascii="Arial" w:hAnsi="Arial"/>
      <w:snapToGrid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oter" Target="footer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4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5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9.517923362175526E-2"/>
          <c:y val="5.9936908517350153E-2"/>
          <c:w val="0.66131025957972811"/>
          <c:h val="0.79179810725552069"/>
        </c:manualLayout>
      </c:layout>
      <c:lineChart>
        <c:grouping val="standar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Численность населения</c:v>
                </c:pt>
              </c:strCache>
            </c:strRef>
          </c:tx>
          <c:spPr>
            <a:ln w="12678">
              <a:solidFill>
                <a:srgbClr val="000080"/>
              </a:solidFill>
              <a:prstDash val="solid"/>
            </a:ln>
          </c:spPr>
          <c:marker>
            <c:symbol val="diamond"/>
            <c:size val="4"/>
            <c:spPr>
              <a:solidFill>
                <a:srgbClr val="000080"/>
              </a:solidFill>
              <a:ln>
                <a:solidFill>
                  <a:srgbClr val="000080"/>
                </a:solidFill>
                <a:prstDash val="solid"/>
              </a:ln>
            </c:spPr>
          </c:marker>
          <c:dLbls>
            <c:dLbl>
              <c:idx val="1"/>
              <c:layout>
                <c:manualLayout>
                  <c:xMode val="edge"/>
                  <c:yMode val="edge"/>
                  <c:x val="0.27194066749072932"/>
                  <c:y val="0.22712933753943218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39060568603213847"/>
                  <c:y val="0.33753943217665616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Mode val="edge"/>
                  <c:yMode val="edge"/>
                  <c:x val="0.50061804697156986"/>
                  <c:y val="0.4668769716088329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59579728059332515"/>
                  <c:y val="0.33438485804416401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198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2006 г</c:v>
                </c:pt>
                <c:pt idx="1">
                  <c:v>2007 г</c:v>
                </c:pt>
                <c:pt idx="2">
                  <c:v>2008 г</c:v>
                </c:pt>
                <c:pt idx="3">
                  <c:v>2009 г</c:v>
                </c:pt>
                <c:pt idx="4">
                  <c:v>2010 г</c:v>
                </c:pt>
                <c:pt idx="5">
                  <c:v>2011</c:v>
                </c:pt>
              </c:strCache>
            </c:strRef>
          </c:cat>
          <c:val>
            <c:numRef>
              <c:f>Sheet1!$B$2:$G$2</c:f>
              <c:numCache>
                <c:formatCode>General</c:formatCode>
                <c:ptCount val="6"/>
                <c:pt idx="0">
                  <c:v>27919</c:v>
                </c:pt>
                <c:pt idx="1">
                  <c:v>27355</c:v>
                </c:pt>
                <c:pt idx="2">
                  <c:v>26886</c:v>
                </c:pt>
                <c:pt idx="3">
                  <c:v>26406</c:v>
                </c:pt>
                <c:pt idx="4">
                  <c:v>26910</c:v>
                </c:pt>
                <c:pt idx="5">
                  <c:v>26319</c:v>
                </c:pt>
              </c:numCache>
            </c:numRef>
          </c:val>
          <c:smooth val="0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marker val="1"/>
        <c:smooth val="0"/>
        <c:axId val="181753344"/>
        <c:axId val="181418752"/>
      </c:lineChart>
      <c:catAx>
        <c:axId val="1817533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418752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81418752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198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753344"/>
        <c:crosses val="autoZero"/>
        <c:crossBetween val="between"/>
      </c:valAx>
      <c:spPr>
        <a:solidFill>
          <a:srgbClr val="FFFFFF"/>
        </a:solidFill>
        <a:ln w="12678">
          <a:solidFill>
            <a:srgbClr val="FFFFFF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70086526576019781"/>
          <c:y val="0.62460567823343849"/>
          <c:w val="0.29913473423980219"/>
          <c:h val="0.28075709779179814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1033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123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44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sideWall>
    <c:backWall>
      <c:thickness val="0"/>
      <c:spPr>
        <a:solidFill>
          <a:srgbClr val="FFFFCC"/>
        </a:solidFill>
        <a:ln w="12700">
          <a:solidFill>
            <a:srgbClr val="808080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8.8435374149659865E-2"/>
          <c:y val="3.2786885245901641E-2"/>
          <c:w val="0.8"/>
          <c:h val="0.80655737704918029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993366"/>
            </a:solidFill>
            <a:ln w="12665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897959183673469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62993197278911572"/>
                  <c:y val="0.3639344262295082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0">
                <a:noFill/>
              </a:ln>
            </c:spPr>
            <c:txPr>
              <a:bodyPr/>
              <a:lstStyle/>
              <a:p>
                <a:pPr>
                  <a:defRPr sz="1072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2"/>
                <c:pt idx="0">
                  <c:v>область</c:v>
                </c:pt>
                <c:pt idx="1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17767.8</c:v>
                </c:pt>
                <c:pt idx="1">
                  <c:v>15515.9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639552"/>
        <c:axId val="181895744"/>
        <c:axId val="0"/>
      </c:bar3DChart>
      <c:catAx>
        <c:axId val="14363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895744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895744"/>
        <c:scaling>
          <c:orientation val="minMax"/>
        </c:scaling>
        <c:delete val="0"/>
        <c:axPos val="l"/>
        <c:majorGridlines>
          <c:spPr>
            <a:ln w="3166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72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43639552"/>
        <c:crosses val="autoZero"/>
        <c:crossBetween val="between"/>
      </c:valAx>
      <c:spPr>
        <a:noFill/>
        <a:ln w="25330">
          <a:noFill/>
        </a:ln>
      </c:spPr>
    </c:plotArea>
    <c:legend>
      <c:legendPos val="r"/>
      <c:layout>
        <c:manualLayout>
          <c:xMode val="edge"/>
          <c:yMode val="edge"/>
          <c:x val="0.90612244897959171"/>
          <c:y val="0.45573770491803284"/>
          <c:w val="8.8435374149659865E-2"/>
          <c:h val="9.18032786885246E-2"/>
        </c:manualLayout>
      </c:layout>
      <c:overlay val="0"/>
      <c:spPr>
        <a:noFill/>
        <a:ln w="3166">
          <a:solidFill>
            <a:srgbClr val="000000"/>
          </a:solidFill>
          <a:prstDash val="solid"/>
        </a:ln>
      </c:spPr>
      <c:txPr>
        <a:bodyPr/>
        <a:lstStyle/>
        <a:p>
          <a:pPr>
            <a:defRPr sz="98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 w="6350" cap="flat" cmpd="sng" algn="ctr">
      <a:solidFill>
        <a:srgbClr val="000000"/>
      </a:solidFill>
      <a:prstDash val="solid"/>
      <a:miter lim="800000"/>
      <a:headEnd type="none" w="med" len="med"/>
      <a:tailEnd type="none" w="med" len="med"/>
    </a:ln>
  </c:spPr>
  <c:txPr>
    <a:bodyPr/>
    <a:lstStyle/>
    <a:p>
      <a:pPr>
        <a:defRPr sz="1072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395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t>Уровень зарегистрированной безработицы</a:t>
            </a:r>
          </a:p>
        </c:rich>
      </c:tx>
      <c:layout>
        <c:manualLayout>
          <c:xMode val="edge"/>
          <c:yMode val="edge"/>
          <c:x val="0.16590563165905634"/>
          <c:y val="1.993355481727575E-2"/>
        </c:manualLayout>
      </c:layout>
      <c:overlay val="0"/>
      <c:spPr>
        <a:noFill/>
        <a:ln w="25312">
          <a:noFill/>
        </a:ln>
      </c:spPr>
    </c:title>
    <c:autoTitleDeleted val="0"/>
    <c:view3D>
      <c:rotX val="15"/>
      <c:hPercent val="4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sideWall>
    <c:backWall>
      <c:thickness val="0"/>
      <c:spPr>
        <a:solidFill>
          <a:srgbClr val="FFFFFF"/>
        </a:solidFill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6.3926940639269403E-2"/>
          <c:y val="0.2292358803986711"/>
          <c:w val="0.81126331811263308"/>
          <c:h val="0.61129568106312293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2009</c:v>
                </c:pt>
              </c:strCache>
            </c:strRef>
          </c:tx>
          <c:spPr>
            <a:solidFill>
              <a:srgbClr val="9999FF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0547945205479454"/>
                  <c:y val="0.215946843853820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Sheet1!$B$2:$C$2</c:f>
              <c:numCache>
                <c:formatCode>General</c:formatCode>
                <c:ptCount val="2"/>
                <c:pt idx="0">
                  <c:v>2.1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FF00FF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0745814307458147"/>
                  <c:y val="0.4684385382059801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96955859969558611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Sheet1!$B$3:$C$3</c:f>
              <c:numCache>
                <c:formatCode>General</c:formatCode>
                <c:ptCount val="2"/>
                <c:pt idx="0">
                  <c:v>1</c:v>
                </c:pt>
              </c:numCache>
            </c:numRef>
          </c:val>
        </c:ser>
        <c:ser>
          <c:idx val="2"/>
          <c:order val="2"/>
          <c:tx>
            <c:strRef>
              <c:f>Sheet1!$A$4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FFCC"/>
            </a:solidFill>
            <a:ln w="12656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36986301369863012"/>
                  <c:y val="0.5382059800664452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95433789954337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12">
                <a:noFill/>
              </a:ln>
            </c:spPr>
            <c:txPr>
              <a:bodyPr/>
              <a:lstStyle/>
              <a:p>
                <a:pPr>
                  <a:defRPr sz="1046" b="1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Sheet1!$B$1:$C$1</c:f>
              <c:strCache>
                <c:ptCount val="1"/>
                <c:pt idx="0">
                  <c:v>Район</c:v>
                </c:pt>
              </c:strCache>
            </c:strRef>
          </c:cat>
          <c:val>
            <c:numRef>
              <c:f>Sheet1!$B$4:$C$4</c:f>
              <c:numCache>
                <c:formatCode>General</c:formatCode>
                <c:ptCount val="2"/>
                <c:pt idx="0">
                  <c:v>0.6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1752832"/>
        <c:axId val="181897472"/>
        <c:axId val="0"/>
      </c:bar3DChart>
      <c:catAx>
        <c:axId val="1817528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897472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897472"/>
        <c:scaling>
          <c:orientation val="minMax"/>
        </c:scaling>
        <c:delete val="0"/>
        <c:axPos val="l"/>
        <c:majorGridlines>
          <c:spPr>
            <a:ln w="3164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64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46" b="1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81752832"/>
        <c:crosses val="autoZero"/>
        <c:crossBetween val="between"/>
      </c:valAx>
      <c:spPr>
        <a:noFill/>
        <a:ln w="3164">
          <a:solidFill>
            <a:srgbClr val="000000"/>
          </a:solidFill>
          <a:prstDash val="solid"/>
        </a:ln>
      </c:spPr>
    </c:plotArea>
    <c:legend>
      <c:legendPos val="r"/>
      <c:layout>
        <c:manualLayout>
          <c:xMode val="edge"/>
          <c:yMode val="edge"/>
          <c:x val="0.89497716894977175"/>
          <c:y val="0.4551495016611295"/>
          <c:w val="9.8934550989345518E-2"/>
          <c:h val="0.27242524916943522"/>
        </c:manualLayout>
      </c:layout>
      <c:overlay val="0"/>
      <c:spPr>
        <a:noFill/>
        <a:ln w="3164">
          <a:solidFill>
            <a:srgbClr val="000000"/>
          </a:solidFill>
          <a:prstDash val="solid"/>
        </a:ln>
      </c:spPr>
      <c:txPr>
        <a:bodyPr/>
        <a:lstStyle/>
        <a:p>
          <a:pPr>
            <a:defRPr sz="962" b="1" i="0" u="none" strike="noStrike" baseline="0">
              <a:solidFill>
                <a:srgbClr val="00000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46" b="1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1224489795918367"/>
          <c:y val="4.9632352941176475E-2"/>
          <c:w val="0.87117346938775508"/>
          <c:h val="0.8088235294117647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 год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00FFFF" mc:Ignorable="a14" a14:legacySpreadsheetColorIndex="35"/>
                </a:gs>
                <a:gs pos="100000">
                  <a:srgbClr xmlns:mc="http://schemas.openxmlformats.org/markup-compatibility/2006" xmlns:a14="http://schemas.microsoft.com/office/drawing/2010/main" val="CCFFCC" mc:Ignorable="a14" a14:legacySpreadsheetColorIndex="42"/>
                </a:gs>
              </a:gsLst>
              <a:path path="rect">
                <a:fillToRect l="50000" t="50000" r="50000" b="50000"/>
              </a:path>
            </a:gradFill>
            <a:ln w="25407">
              <a:solidFill>
                <a:srgbClr val="339966"/>
              </a:solidFill>
              <a:prstDash val="solid"/>
            </a:ln>
          </c:spPr>
          <c:invertIfNegative val="0"/>
          <c:dLbls>
            <c:numFmt formatCode="0.0" sourceLinked="0"/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Sheet1!$B$2:$M$2</c:f>
              <c:numCache>
                <c:formatCode>General</c:formatCode>
                <c:ptCount val="12"/>
                <c:pt idx="0">
                  <c:v>83.9</c:v>
                </c:pt>
                <c:pt idx="1">
                  <c:v>78.400000000000006</c:v>
                </c:pt>
                <c:pt idx="2">
                  <c:v>69.400000000000006</c:v>
                </c:pt>
                <c:pt idx="3">
                  <c:v>84.7</c:v>
                </c:pt>
                <c:pt idx="4">
                  <c:v>81.3</c:v>
                </c:pt>
                <c:pt idx="5">
                  <c:v>83.5</c:v>
                </c:pt>
                <c:pt idx="6">
                  <c:v>79.400000000000006</c:v>
                </c:pt>
                <c:pt idx="7">
                  <c:v>76.3</c:v>
                </c:pt>
                <c:pt idx="8">
                  <c:v>79.5</c:v>
                </c:pt>
                <c:pt idx="9">
                  <c:v>79.5</c:v>
                </c:pt>
                <c:pt idx="10">
                  <c:v>83.2</c:v>
                </c:pt>
                <c:pt idx="11">
                  <c:v>88.7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 год</c:v>
                </c:pt>
              </c:strCache>
            </c:strRef>
          </c:tx>
          <c:spPr>
            <a:gradFill rotWithShape="0">
              <a:gsLst>
                <a:gs pos="0">
                  <a:srgbClr xmlns:mc="http://schemas.openxmlformats.org/markup-compatibility/2006" xmlns:a14="http://schemas.microsoft.com/office/drawing/2010/main" val="99CC00" mc:Ignorable="a14" a14:legacySpreadsheetColorIndex="50"/>
                </a:gs>
                <a:gs pos="100000">
                  <a:srgbClr xmlns:mc="http://schemas.openxmlformats.org/markup-compatibility/2006" xmlns:a14="http://schemas.microsoft.com/office/drawing/2010/main" val="FF9900" mc:Ignorable="a14" a14:legacySpreadsheetColorIndex="52"/>
                </a:gs>
              </a:gsLst>
              <a:lin ang="2700000" scaled="1"/>
            </a:gradFill>
            <a:ln w="12704">
              <a:solidFill>
                <a:srgbClr val="FFCC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4158163265306126"/>
                  <c:y val="5.5147058823529415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2142857142857143"/>
                  <c:y val="0.2077205882352941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29209183673469391"/>
                  <c:y val="0.27941176470588236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407">
                <a:noFill/>
              </a:ln>
            </c:spPr>
            <c:txPr>
              <a:bodyPr/>
              <a:lstStyle/>
              <a:p>
                <a:pPr>
                  <a:defRPr sz="825" b="1" i="0" u="none" strike="noStrike" baseline="0">
                    <a:solidFill>
                      <a:srgbClr val="000000"/>
                    </a:solidFill>
                    <a:latin typeface="Arial"/>
                    <a:ea typeface="Arial"/>
                    <a:cs typeface="Arial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Sheet1!$B$1:$M$1</c:f>
              <c:strCache>
                <c:ptCount val="12"/>
                <c:pt idx="0">
                  <c:v>Январь</c:v>
                </c:pt>
                <c:pt idx="1">
                  <c:v>Февраль</c:v>
                </c:pt>
                <c:pt idx="2">
                  <c:v>Март</c:v>
                </c:pt>
                <c:pt idx="3">
                  <c:v>Апрель</c:v>
                </c:pt>
                <c:pt idx="4">
                  <c:v>Май</c:v>
                </c:pt>
                <c:pt idx="5">
                  <c:v>Июнь</c:v>
                </c:pt>
                <c:pt idx="6">
                  <c:v>Июль</c:v>
                </c:pt>
                <c:pt idx="7">
                  <c:v>Август</c:v>
                </c:pt>
                <c:pt idx="8">
                  <c:v>Сентябрь</c:v>
                </c:pt>
                <c:pt idx="9">
                  <c:v>Октябрь</c:v>
                </c:pt>
                <c:pt idx="10">
                  <c:v>Ноябрь</c:v>
                </c:pt>
                <c:pt idx="11">
                  <c:v>Декабрь</c:v>
                </c:pt>
              </c:strCache>
            </c:strRef>
          </c:cat>
          <c:val>
            <c:numRef>
              <c:f>Sheet1!$B$3:$M$3</c:f>
              <c:numCache>
                <c:formatCode>General</c:formatCode>
                <c:ptCount val="12"/>
                <c:pt idx="0">
                  <c:v>148.5</c:v>
                </c:pt>
                <c:pt idx="1">
                  <c:v>111.2</c:v>
                </c:pt>
                <c:pt idx="2">
                  <c:v>98.3</c:v>
                </c:pt>
                <c:pt idx="3">
                  <c:v>93.8</c:v>
                </c:pt>
                <c:pt idx="4">
                  <c:v>105.7</c:v>
                </c:pt>
                <c:pt idx="5">
                  <c:v>112.6</c:v>
                </c:pt>
                <c:pt idx="6">
                  <c:v>108.8</c:v>
                </c:pt>
                <c:pt idx="7">
                  <c:v>113.9</c:v>
                </c:pt>
                <c:pt idx="8">
                  <c:v>108.8</c:v>
                </c:pt>
                <c:pt idx="9">
                  <c:v>109.6</c:v>
                </c:pt>
                <c:pt idx="10">
                  <c:v>114.8</c:v>
                </c:pt>
                <c:pt idx="11">
                  <c:v>125.1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50"/>
        <c:axId val="143619584"/>
        <c:axId val="181899200"/>
      </c:barChart>
      <c:catAx>
        <c:axId val="143619584"/>
        <c:scaling>
          <c:orientation val="minMax"/>
        </c:scaling>
        <c:delete val="0"/>
        <c:axPos val="b"/>
        <c:numFmt formatCode="General" sourceLinked="1"/>
        <c:majorTickMark val="out"/>
        <c:minorTickMark val="in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-2700000" vert="horz"/>
          <a:lstStyle/>
          <a:p>
            <a:pPr>
              <a:defRPr sz="800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899200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899200"/>
        <c:scaling>
          <c:orientation val="minMax"/>
          <c:max val="1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675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% к соответствующему периоду предыдущего года</a:t>
                </a:r>
              </a:p>
            </c:rich>
          </c:tx>
          <c:layout>
            <c:manualLayout>
              <c:xMode val="edge"/>
              <c:yMode val="edge"/>
              <c:x val="2.1683673469387755E-2"/>
              <c:y val="0.21875000000000003"/>
            </c:manualLayout>
          </c:layout>
          <c:overlay val="0"/>
          <c:spPr>
            <a:noFill/>
            <a:ln w="25407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76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00" b="0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19584"/>
        <c:crosses val="autoZero"/>
        <c:crossBetween val="between"/>
        <c:majorUnit val="10"/>
      </c:valAx>
      <c:spPr>
        <a:noFill/>
        <a:ln w="25407">
          <a:noFill/>
        </a:ln>
      </c:spPr>
    </c:plotArea>
    <c:legend>
      <c:legendPos val="r"/>
      <c:layout>
        <c:manualLayout>
          <c:xMode val="edge"/>
          <c:yMode val="edge"/>
          <c:x val="0.77806122448979598"/>
          <c:y val="1.2867647058823531E-2"/>
          <c:w val="0.21045918367346939"/>
          <c:h val="4.4117647058823532E-2"/>
        </c:manualLayout>
      </c:layout>
      <c:overlay val="0"/>
      <c:spPr>
        <a:solidFill>
          <a:srgbClr val="FFFFFF"/>
        </a:solidFill>
        <a:ln w="25407">
          <a:noFill/>
        </a:ln>
      </c:spPr>
      <c:txPr>
        <a:bodyPr/>
        <a:lstStyle/>
        <a:p>
          <a:pPr>
            <a:defRPr sz="825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950" b="0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6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12700">
          <a:solidFill>
            <a:srgbClr val="FFFFFF"/>
          </a:solidFill>
          <a:prstDash val="solid"/>
        </a:ln>
      </c:spPr>
    </c:sideWall>
    <c:backWall>
      <c:thickness val="0"/>
      <c:spPr>
        <a:noFill/>
        <a:ln w="12700">
          <a:solidFill>
            <a:srgbClr val="FFFFFF"/>
          </a:solidFill>
          <a:prstDash val="solid"/>
        </a:ln>
      </c:spPr>
    </c:backWall>
    <c:plotArea>
      <c:layout>
        <c:manualLayout>
          <c:layoutTarget val="inner"/>
          <c:xMode val="edge"/>
          <c:yMode val="edge"/>
          <c:x val="0.10062893081761007"/>
          <c:y val="4.0955631399317405E-2"/>
          <c:w val="0.67452830188679258"/>
          <c:h val="0.80887372013651881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ввод жилья</c:v>
                </c:pt>
              </c:strCache>
            </c:strRef>
          </c:tx>
          <c:spPr>
            <a:solidFill>
              <a:srgbClr val="9999FF"/>
            </a:solidFill>
            <a:ln w="12678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19182389937106917"/>
                  <c:y val="0.1843003412969282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3962264150943397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90566037735849059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57">
                <a:noFill/>
              </a:ln>
            </c:spPr>
            <c:txPr>
              <a:bodyPr/>
              <a:lstStyle/>
              <a:p>
                <a:pPr>
                  <a:defRPr sz="10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Sheet1!$B$1:$D$1</c:f>
              <c:numCache>
                <c:formatCode>General</c:formatCode>
                <c:ptCount val="3"/>
                <c:pt idx="0">
                  <c:v>2010</c:v>
                </c:pt>
                <c:pt idx="1">
                  <c:v>2011</c:v>
                </c:pt>
              </c:numCache>
            </c:numRef>
          </c:cat>
          <c:val>
            <c:numRef>
              <c:f>Sheet1!$B$2:$D$2</c:f>
              <c:numCache>
                <c:formatCode>General</c:formatCode>
                <c:ptCount val="3"/>
                <c:pt idx="0">
                  <c:v>12611</c:v>
                </c:pt>
                <c:pt idx="1">
                  <c:v>17723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43647232"/>
        <c:axId val="181900928"/>
        <c:axId val="0"/>
      </c:bar3DChart>
      <c:catAx>
        <c:axId val="14364723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900928"/>
        <c:crosses val="autoZero"/>
        <c:auto val="1"/>
        <c:lblAlgn val="ctr"/>
        <c:lblOffset val="100"/>
        <c:tickLblSkip val="1"/>
        <c:tickMarkSkip val="1"/>
        <c:noMultiLvlLbl val="0"/>
      </c:catAx>
      <c:valAx>
        <c:axId val="181900928"/>
        <c:scaling>
          <c:orientation val="minMax"/>
        </c:scaling>
        <c:delete val="0"/>
        <c:axPos val="l"/>
        <c:majorGridlines>
          <c:spPr>
            <a:ln w="3170">
              <a:solidFill>
                <a:srgbClr val="000000"/>
              </a:solidFill>
              <a:prstDash val="solid"/>
            </a:ln>
          </c:spPr>
        </c:majorGridlines>
        <c:numFmt formatCode="General" sourceLinked="1"/>
        <c:majorTickMark val="out"/>
        <c:minorTickMark val="none"/>
        <c:tickLblPos val="nextTo"/>
        <c:spPr>
          <a:ln w="3170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102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43647232"/>
        <c:crosses val="autoZero"/>
        <c:crossBetween val="between"/>
        <c:majorUnit val="3000"/>
      </c:valAx>
      <c:spPr>
        <a:noFill/>
        <a:ln w="25357">
          <a:noFill/>
        </a:ln>
      </c:spPr>
    </c:plotArea>
    <c:legend>
      <c:legendPos val="r"/>
      <c:layout>
        <c:manualLayout>
          <c:xMode val="edge"/>
          <c:yMode val="edge"/>
          <c:x val="0.79559748427672972"/>
          <c:y val="0.45733788395904434"/>
          <c:w val="0.19811320754716985"/>
          <c:h val="8.8737201365187715E-2"/>
        </c:manualLayout>
      </c:layout>
      <c:overlay val="0"/>
      <c:spPr>
        <a:noFill/>
        <a:ln w="3170">
          <a:solidFill>
            <a:srgbClr val="000000"/>
          </a:solidFill>
          <a:prstDash val="solid"/>
        </a:ln>
      </c:spPr>
      <c:txPr>
        <a:bodyPr/>
        <a:lstStyle/>
        <a:p>
          <a:pPr>
            <a:defRPr sz="93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1023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15"/>
      <c:hPercent val="50"/>
      <c:rotY val="20"/>
      <c:depthPercent val="100"/>
      <c:rAngAx val="1"/>
    </c:view3D>
    <c:floor>
      <c:thickness val="0"/>
      <c:spPr>
        <a:solidFill>
          <a:srgbClr val="C0C0C0"/>
        </a:solidFill>
        <a:ln w="3175">
          <a:solidFill>
            <a:srgbClr val="000000"/>
          </a:solidFill>
          <a:prstDash val="solid"/>
        </a:ln>
      </c:spPr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2010</c:v>
                </c:pt>
              </c:strCache>
            </c:strRef>
          </c:tx>
          <c:spPr>
            <a:solidFill>
              <a:srgbClr val="9999FF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2813238770685582"/>
                  <c:y val="0.328159645232815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4881796690307329"/>
                  <c:y val="0.4855875831485587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74113475177304966"/>
                  <c:y val="0.4345898004434589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75650118203309702"/>
                  <c:y val="0.12860310421286028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мясо (скот и птица на убой в ж.в.)</c:v>
                </c:pt>
                <c:pt idx="1">
                  <c:v>молоко</c:v>
                </c:pt>
                <c:pt idx="2">
                  <c:v>яйца</c:v>
                </c:pt>
              </c:strCache>
            </c:strRef>
          </c:cat>
          <c:val>
            <c:numRef>
              <c:f>Sheet1!$B$2:$D$2</c:f>
              <c:numCache>
                <c:formatCode>0.0</c:formatCode>
                <c:ptCount val="3"/>
                <c:pt idx="0" formatCode="General">
                  <c:v>163</c:v>
                </c:pt>
                <c:pt idx="1">
                  <c:v>84</c:v>
                </c:pt>
                <c:pt idx="2">
                  <c:v>109.7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2011</c:v>
                </c:pt>
              </c:strCache>
            </c:strRef>
          </c:tx>
          <c:spPr>
            <a:solidFill>
              <a:srgbClr val="FF9900"/>
            </a:solidFill>
            <a:ln w="12667">
              <a:solidFill>
                <a:srgbClr val="000000"/>
              </a:solidFill>
              <a:prstDash val="solid"/>
            </a:ln>
          </c:spPr>
          <c:invertIfNegative val="0"/>
          <c:dLbls>
            <c:dLbl>
              <c:idx val="0"/>
              <c:layout>
                <c:manualLayout>
                  <c:xMode val="edge"/>
                  <c:yMode val="edge"/>
                  <c:x val="0.28486997635933808"/>
                  <c:y val="0.3858093126385808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Mode val="edge"/>
                  <c:yMode val="edge"/>
                  <c:x val="0.56264775413711587"/>
                  <c:y val="0.44345898004434586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Mode val="edge"/>
                  <c:yMode val="edge"/>
                  <c:x val="0.82624113475177319"/>
                  <c:y val="0.43237250554323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Mode val="edge"/>
                  <c:yMode val="edge"/>
                  <c:x val="0.81323877068557926"/>
                  <c:y val="0.20842572062084255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numFmt formatCode="0.0" sourceLinked="0"/>
            <c:spPr>
              <a:noFill/>
              <a:ln w="25333">
                <a:noFill/>
              </a:ln>
            </c:spPr>
            <c:txPr>
              <a:bodyPr/>
              <a:lstStyle/>
              <a:p>
                <a:pPr>
                  <a:defRPr sz="873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Sheet1!$B$1:$D$1</c:f>
              <c:strCache>
                <c:ptCount val="3"/>
                <c:pt idx="0">
                  <c:v>мясо (скот и птица на убой в ж.в.)</c:v>
                </c:pt>
                <c:pt idx="1">
                  <c:v>молоко</c:v>
                </c:pt>
                <c:pt idx="2">
                  <c:v>яйца</c:v>
                </c:pt>
              </c:strCache>
            </c:strRef>
          </c:cat>
          <c:val>
            <c:numRef>
              <c:f>Sheet1!$B$3:$D$3</c:f>
              <c:numCache>
                <c:formatCode>General</c:formatCode>
                <c:ptCount val="3"/>
                <c:pt idx="0" formatCode="0.0">
                  <c:v>148.69999999999999</c:v>
                </c:pt>
                <c:pt idx="1">
                  <c:v>105.2</c:v>
                </c:pt>
                <c:pt idx="2">
                  <c:v>106.9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gapDepth val="0"/>
        <c:shape val="box"/>
        <c:axId val="181754368"/>
        <c:axId val="181902656"/>
        <c:axId val="0"/>
      </c:bar3DChart>
      <c:catAx>
        <c:axId val="18175436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902656"/>
        <c:crossesAt val="0"/>
        <c:auto val="1"/>
        <c:lblAlgn val="ctr"/>
        <c:lblOffset val="100"/>
        <c:tickLblSkip val="1"/>
        <c:tickMarkSkip val="1"/>
        <c:noMultiLvlLbl val="0"/>
      </c:catAx>
      <c:valAx>
        <c:axId val="181902656"/>
        <c:scaling>
          <c:orientation val="minMax"/>
          <c:max val="350"/>
          <c:min val="0"/>
        </c:scaling>
        <c:delete val="0"/>
        <c:axPos val="l"/>
        <c:title>
          <c:tx>
            <c:rich>
              <a:bodyPr/>
              <a:lstStyle/>
              <a:p>
                <a:pPr>
                  <a:defRPr sz="598" b="1" i="0" u="none" strike="noStrike" baseline="0">
                    <a:solidFill>
                      <a:srgbClr val="000000"/>
                    </a:solidFill>
                    <a:latin typeface="Arial Cyr"/>
                    <a:ea typeface="Arial Cyr"/>
                    <a:cs typeface="Arial Cyr"/>
                  </a:defRPr>
                </a:pPr>
                <a:r>
                  <a:t>(% к соответсвующему периоду прошлого года)</a:t>
                </a:r>
              </a:p>
            </c:rich>
          </c:tx>
          <c:layout>
            <c:manualLayout>
              <c:xMode val="edge"/>
              <c:yMode val="edge"/>
              <c:x val="5.2009456264775412E-2"/>
              <c:y val="0.13303769401330376"/>
            </c:manualLayout>
          </c:layout>
          <c:overlay val="0"/>
          <c:spPr>
            <a:noFill/>
            <a:ln w="25333">
              <a:noFill/>
            </a:ln>
          </c:spPr>
        </c:title>
        <c:numFmt formatCode="General" sourceLinked="1"/>
        <c:majorTickMark val="out"/>
        <c:minorTickMark val="none"/>
        <c:tickLblPos val="nextTo"/>
        <c:spPr>
          <a:ln w="3167">
            <a:solidFill>
              <a:srgbClr val="000000"/>
            </a:solidFill>
            <a:prstDash val="solid"/>
          </a:ln>
        </c:spPr>
        <c:txPr>
          <a:bodyPr rot="0" vert="horz"/>
          <a:lstStyle/>
          <a:p>
            <a:pPr>
              <a:defRPr sz="873" b="1" i="0" u="none" strike="noStrike" baseline="0">
                <a:solidFill>
                  <a:srgbClr val="000000"/>
                </a:solidFill>
                <a:latin typeface="Arial Cyr"/>
                <a:ea typeface="Arial Cyr"/>
                <a:cs typeface="Arial Cyr"/>
              </a:defRPr>
            </a:pPr>
            <a:endParaRPr lang="ru-RU"/>
          </a:p>
        </c:txPr>
        <c:crossAx val="181754368"/>
        <c:crosses val="autoZero"/>
        <c:crossBetween val="between"/>
        <c:majorUnit val="50"/>
        <c:minorUnit val="50"/>
      </c:valAx>
      <c:spPr>
        <a:noFill/>
        <a:ln w="12667">
          <a:solidFill>
            <a:srgbClr val="FFFFFF"/>
          </a:solidFill>
          <a:prstDash val="solid"/>
        </a:ln>
      </c:spPr>
    </c:plotArea>
    <c:legend>
      <c:legendPos val="b"/>
      <c:layout>
        <c:manualLayout>
          <c:xMode val="edge"/>
          <c:yMode val="edge"/>
          <c:x val="0.25413711583924353"/>
          <c:y val="0.933481152993348"/>
          <c:w val="0.55200945626477538"/>
          <c:h val="6.2084257206208422E-2"/>
        </c:manualLayout>
      </c:layout>
      <c:overlay val="0"/>
      <c:spPr>
        <a:noFill/>
        <a:ln w="3167">
          <a:solidFill>
            <a:srgbClr val="000000"/>
          </a:solidFill>
          <a:prstDash val="solid"/>
        </a:ln>
      </c:spPr>
      <c:txPr>
        <a:bodyPr/>
        <a:lstStyle/>
        <a:p>
          <a:pPr>
            <a:defRPr sz="778" b="1" i="0" u="none" strike="noStrike" baseline="0">
              <a:solidFill>
                <a:srgbClr val="000000"/>
              </a:solidFill>
              <a:latin typeface="Arial Cyr"/>
              <a:ea typeface="Arial Cyr"/>
              <a:cs typeface="Arial Cyr"/>
            </a:defRPr>
          </a:pPr>
          <a:endParaRPr lang="ru-RU"/>
        </a:p>
      </c:txPr>
    </c:legend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48" b="1" i="0" u="none" strike="noStrike" baseline="0">
          <a:solidFill>
            <a:srgbClr val="000000"/>
          </a:solidFill>
          <a:latin typeface="Arial Cyr"/>
          <a:ea typeface="Arial Cyr"/>
          <a:cs typeface="Arial Cyr"/>
        </a:defRPr>
      </a:pPr>
      <a:endParaRPr lang="ru-RU"/>
    </a:p>
  </c:txPr>
  <c:externalData r:id="rId1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0.006</cdr:x>
      <cdr:y>0.508</cdr:y>
    </cdr:from>
    <cdr:to>
      <cdr:x>0.03925</cdr:x>
      <cdr:y>0.5485</cdr:y>
    </cdr:to>
    <cdr:sp macro="" textlink="">
      <cdr:nvSpPr>
        <cdr:cNvPr id="1025" name="Text Box 1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35844" y="2105802"/>
          <a:ext cx="198639" cy="16788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9525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18288" tIns="0" rIns="0" bIns="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endParaRPr lang="ru-RU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4057</Words>
  <Characters>23131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ИТОГИ</vt:lpstr>
    </vt:vector>
  </TitlesOfParts>
  <Company>l</Company>
  <LinksUpToDate>false</LinksUpToDate>
  <CharactersWithSpaces>27134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ИТОГИ</dc:title>
  <dc:creator>mna</dc:creator>
  <cp:lastModifiedBy>User</cp:lastModifiedBy>
  <cp:revision>2</cp:revision>
  <cp:lastPrinted>2011-07-26T13:16:00Z</cp:lastPrinted>
  <dcterms:created xsi:type="dcterms:W3CDTF">2017-03-31T05:03:00Z</dcterms:created>
  <dcterms:modified xsi:type="dcterms:W3CDTF">2017-03-31T05:03:00Z</dcterms:modified>
</cp:coreProperties>
</file>