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5" w:rsidRDefault="00236B85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B85" w:rsidRDefault="00664A43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236B85" w:rsidRDefault="00E477D7">
      <w:pPr>
        <w:shd w:val="clear" w:color="auto" w:fill="FFFFFF"/>
        <w:spacing w:after="0"/>
        <w:ind w:left="5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ВАЛДАЙСКОГО</w:t>
      </w:r>
      <w:r w:rsidR="00664A4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36B85" w:rsidRDefault="00236B85">
      <w:pPr>
        <w:ind w:left="5" w:hanging="5"/>
        <w:jc w:val="center"/>
        <w:rPr>
          <w:szCs w:val="28"/>
        </w:rPr>
      </w:pPr>
    </w:p>
    <w:p w:rsidR="00236B85" w:rsidRDefault="00664A43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236B85" w:rsidRDefault="00236B85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СТАНДАРТ ОРГАНИЗАЦИИ ДЕЯТЕЛЬНОСТИ </w:t>
      </w: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236B85" w:rsidRDefault="00236B85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236B85" w:rsidRDefault="00E477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31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EC70D2" w:rsidRPr="00514D31">
        <w:rPr>
          <w:rFonts w:ascii="Times New Roman" w:eastAsia="Times New Roman" w:hAnsi="Times New Roman" w:cs="Times New Roman"/>
          <w:b/>
          <w:sz w:val="32"/>
          <w:szCs w:val="32"/>
        </w:rPr>
        <w:t>ОД</w:t>
      </w:r>
      <w:r w:rsidRPr="00E477D7">
        <w:rPr>
          <w:rFonts w:ascii="Times New Roman" w:eastAsia="Times New Roman" w:hAnsi="Times New Roman" w:cs="Times New Roman"/>
          <w:b/>
          <w:sz w:val="32"/>
          <w:szCs w:val="32"/>
        </w:rPr>
        <w:t xml:space="preserve"> 13</w:t>
      </w:r>
      <w:r w:rsidR="00664A43" w:rsidRPr="00E477D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4A43" w:rsidRPr="00E477D7">
        <w:rPr>
          <w:rFonts w:ascii="Times New Roman" w:eastAsia="Times New Roman" w:hAnsi="Times New Roman" w:cs="Times New Roman"/>
          <w:b/>
          <w:sz w:val="32"/>
        </w:rPr>
        <w:t>«</w:t>
      </w:r>
      <w:r w:rsidR="00664A43">
        <w:rPr>
          <w:rFonts w:ascii="Times New Roman" w:eastAsia="Times New Roman" w:hAnsi="Times New Roman" w:cs="Times New Roman"/>
          <w:b/>
          <w:sz w:val="32"/>
        </w:rPr>
        <w:t>ПОРЯДОК ПЛАНИРОВАНИЯ ДЕЯТЕЛЬНОСТИ</w:t>
      </w:r>
    </w:p>
    <w:p w:rsidR="00236B85" w:rsidRDefault="00664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КОНТРОЛЬНО-СЧЕТНОЙ ПАЛАТЫ </w:t>
      </w:r>
    </w:p>
    <w:p w:rsidR="00236B85" w:rsidRDefault="00BE0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</w:rPr>
        <w:t>ВАЛДАЙСКОГО</w:t>
      </w:r>
      <w:r w:rsidR="00664A43">
        <w:rPr>
          <w:rFonts w:ascii="Times New Roman" w:eastAsia="Times New Roman" w:hAnsi="Times New Roman" w:cs="Times New Roman"/>
          <w:b/>
          <w:sz w:val="32"/>
        </w:rPr>
        <w:t xml:space="preserve"> МУНИЦИПАЛЬНОГО РАЙОНА» </w:t>
      </w: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36B85" w:rsidRDefault="00236B85">
      <w:pPr>
        <w:widowControl w:val="0"/>
        <w:spacing w:beforeAutospacing="1" w:afterAutospacing="1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B85" w:rsidRDefault="00664A43">
      <w:pPr>
        <w:tabs>
          <w:tab w:val="left" w:pos="567"/>
        </w:tabs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Дат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а начала действия стандарта:   1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236B85" w:rsidRDefault="00E6439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664A43" w:rsidRPr="00B07CB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664A43" w:rsidRPr="00B07CBF">
        <w:rPr>
          <w:rFonts w:ascii="Times New Roman" w:eastAsia="Times New Roman" w:hAnsi="Times New Roman" w:cs="Times New Roman"/>
          <w:sz w:val="28"/>
          <w:szCs w:val="28"/>
        </w:rPr>
        <w:t xml:space="preserve"> приказом от </w:t>
      </w:r>
      <w:r w:rsidR="00B07C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53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4A43" w:rsidRPr="00B0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664A43" w:rsidRPr="00B07CB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4A43" w:rsidRPr="00B07CB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EA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77D7" w:rsidRDefault="00E477D7" w:rsidP="006240CA">
      <w:pPr>
        <w:widowControl w:val="0"/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Валдай</w:t>
      </w:r>
    </w:p>
    <w:p w:rsidR="00E477D7" w:rsidRDefault="00E477D7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</w:t>
      </w:r>
    </w:p>
    <w:p w:rsidR="00236B85" w:rsidRDefault="00664A43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9464" w:type="dxa"/>
        <w:tblLook w:val="04A0"/>
      </w:tblPr>
      <w:tblGrid>
        <w:gridCol w:w="674"/>
        <w:gridCol w:w="7514"/>
        <w:gridCol w:w="1276"/>
      </w:tblGrid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4" w:type="dxa"/>
          </w:tcPr>
          <w:p w:rsidR="00236B85" w:rsidRDefault="00664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36B85" w:rsidRDefault="00664A43" w:rsidP="00E643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236B85" w:rsidRDefault="00664A43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B85"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задачи и принципы планирования деятельности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B85"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формирования и утверждения  годового плана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B85"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Форма, структура и содержание  годового плана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6B85"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rPr>
          <w:trHeight w:val="515"/>
        </w:trPr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корректировки годового плана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</w:tr>
      <w:tr w:rsidR="00236B85">
        <w:trPr>
          <w:trHeight w:hRule="exact" w:val="80"/>
        </w:trPr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 годового плана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6B85">
        <w:trPr>
          <w:trHeight w:hRule="exact" w:val="80"/>
        </w:trPr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85">
        <w:tc>
          <w:tcPr>
            <w:tcW w:w="674" w:type="dxa"/>
          </w:tcPr>
          <w:p w:rsidR="00236B85" w:rsidRDefault="00664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4" w:type="dxa"/>
          </w:tcPr>
          <w:p w:rsidR="00236B85" w:rsidRDefault="00664A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размещения информации о  годовом плане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236B85">
        <w:tc>
          <w:tcPr>
            <w:tcW w:w="674" w:type="dxa"/>
          </w:tcPr>
          <w:p w:rsidR="00236B85" w:rsidRDefault="00236B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236B85" w:rsidRDefault="00236B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B85" w:rsidRDefault="00236B8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B85" w:rsidRDefault="00664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92" w:type="dxa"/>
        <w:tblLook w:val="04A0"/>
      </w:tblPr>
      <w:tblGrid>
        <w:gridCol w:w="1878"/>
        <w:gridCol w:w="6238"/>
        <w:gridCol w:w="1276"/>
      </w:tblGrid>
      <w:tr w:rsidR="00236B85" w:rsidTr="00E64394">
        <w:tc>
          <w:tcPr>
            <w:tcW w:w="1878" w:type="dxa"/>
          </w:tcPr>
          <w:p w:rsidR="00236B85" w:rsidRDefault="00664A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Приложение: </w:t>
            </w:r>
          </w:p>
        </w:tc>
        <w:tc>
          <w:tcPr>
            <w:tcW w:w="6238" w:type="dxa"/>
          </w:tcPr>
          <w:p w:rsidR="00236B85" w:rsidRDefault="00664A43" w:rsidP="00E64394">
            <w:pPr>
              <w:widowControl w:val="0"/>
              <w:spacing w:beforeAutospacing="1"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форма годового плана работы Контрольно-счетной палаты</w:t>
            </w:r>
          </w:p>
        </w:tc>
        <w:tc>
          <w:tcPr>
            <w:tcW w:w="1276" w:type="dxa"/>
          </w:tcPr>
          <w:p w:rsidR="00236B85" w:rsidRDefault="00664A43">
            <w:pPr>
              <w:widowControl w:val="0"/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12 </w:t>
            </w:r>
          </w:p>
          <w:p w:rsidR="00236B85" w:rsidRDefault="00236B85">
            <w:pPr>
              <w:widowControl w:val="0"/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B85" w:rsidRDefault="00664A43">
      <w:pPr>
        <w:widowControl w:val="0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236B85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664A43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B85" w:rsidRPr="006240CA" w:rsidRDefault="00664A43" w:rsidP="006240CA">
      <w:pPr>
        <w:widowControl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B2B7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1.1. Стандарт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организации деятельности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E0869">
        <w:rPr>
          <w:rFonts w:ascii="Times New Roman" w:eastAsia="Times New Roman" w:hAnsi="Times New Roman" w:cs="Times New Roman"/>
          <w:iCs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BE0869" w:rsidRPr="00514D3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C87AA8" w:rsidRPr="00514D31">
        <w:rPr>
          <w:rFonts w:ascii="Times New Roman" w:eastAsia="Times New Roman" w:hAnsi="Times New Roman" w:cs="Times New Roman"/>
          <w:iCs/>
          <w:sz w:val="28"/>
          <w:szCs w:val="28"/>
        </w:rPr>
        <w:t>ОД</w:t>
      </w:r>
      <w:r w:rsidR="00BE0869">
        <w:rPr>
          <w:rFonts w:ascii="Times New Roman" w:eastAsia="Times New Roman" w:hAnsi="Times New Roman" w:cs="Times New Roman"/>
          <w:iCs/>
          <w:sz w:val="28"/>
          <w:szCs w:val="28"/>
        </w:rPr>
        <w:t xml:space="preserve"> 13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«Порядок п</w:t>
      </w:r>
      <w:r>
        <w:rPr>
          <w:rFonts w:ascii="Times New Roman" w:eastAsia="Times New Roman" w:hAnsi="Times New Roman" w:cs="Times New Roman"/>
          <w:sz w:val="28"/>
          <w:szCs w:val="28"/>
        </w:rPr>
        <w:t>ланирования деятельности Контрольно-счетной палаты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E0869">
        <w:rPr>
          <w:rFonts w:ascii="Times New Roman" w:eastAsia="Times New Roman" w:hAnsi="Times New Roman" w:cs="Times New Roman"/>
          <w:iCs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– Стандарт) разработан в целях </w:t>
      </w:r>
      <w:r w:rsidR="00FB2B75">
        <w:rPr>
          <w:rFonts w:ascii="Times New Roman" w:eastAsia="Times New Roman" w:hAnsi="Times New Roman" w:cs="Times New Roman"/>
          <w:sz w:val="28"/>
          <w:szCs w:val="28"/>
        </w:rPr>
        <w:t>установления общих принципов и порядка планирования деятельности</w:t>
      </w:r>
      <w:proofErr w:type="gramStart"/>
      <w:r w:rsidR="00FB2B7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FB2B75">
        <w:rPr>
          <w:rFonts w:ascii="Times New Roman" w:eastAsia="Times New Roman" w:hAnsi="Times New Roman" w:cs="Times New Roman"/>
          <w:sz w:val="28"/>
          <w:szCs w:val="28"/>
        </w:rPr>
        <w:t xml:space="preserve">онтрольно – счетной палаты Валдайского муниципального района </w:t>
      </w:r>
      <w:r w:rsidR="006922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227D" w:rsidRPr="00FB2B7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далее – </w:t>
      </w:r>
      <w:r w:rsidR="0069227D" w:rsidRPr="00FB2B75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="0069227D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FB2B75">
        <w:rPr>
          <w:rFonts w:ascii="Times New Roman" w:eastAsia="Times New Roman" w:hAnsi="Times New Roman" w:cs="Times New Roman"/>
          <w:sz w:val="28"/>
          <w:szCs w:val="28"/>
        </w:rPr>
        <w:t>для обеспечения эффективной организации выполнения полномочий контрольно – счетного органа.</w:t>
      </w:r>
    </w:p>
    <w:p w:rsidR="00FB2B75" w:rsidRPr="00FB2B75" w:rsidRDefault="00FB2B75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2B75">
        <w:rPr>
          <w:rFonts w:ascii="Times New Roman" w:hAnsi="Times New Roman" w:cs="Times New Roman"/>
          <w:sz w:val="28"/>
          <w:szCs w:val="28"/>
        </w:rPr>
        <w:t xml:space="preserve">1.2. Правовыми основаниями разработки Стандарта являются: </w:t>
      </w:r>
    </w:p>
    <w:p w:rsidR="00FB2B75" w:rsidRPr="00FB2B75" w:rsidRDefault="0069227D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B75" w:rsidRPr="00FB2B7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FB2B75" w:rsidRPr="00FB2B75" w:rsidRDefault="0069227D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2B75" w:rsidRPr="00FB2B75">
        <w:rPr>
          <w:rFonts w:ascii="Times New Roman" w:hAnsi="Times New Roman" w:cs="Times New Roman"/>
          <w:sz w:val="28"/>
          <w:szCs w:val="28"/>
        </w:rPr>
        <w:t>Федеральный закон от 7 февраля 2011 года № 6-ФЗ «Об общих принципах организац</w:t>
      </w:r>
      <w:r w:rsidR="00C25BF7">
        <w:rPr>
          <w:rFonts w:ascii="Times New Roman" w:hAnsi="Times New Roman" w:cs="Times New Roman"/>
          <w:sz w:val="28"/>
          <w:szCs w:val="28"/>
        </w:rPr>
        <w:t>ии и деятельности контрольно-сче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 xml:space="preserve">тных органов субъектов Российской Федерации и муниципальных образований»; </w:t>
      </w:r>
    </w:p>
    <w:p w:rsidR="00FB2B75" w:rsidRPr="00FB2B75" w:rsidRDefault="0069227D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BF7">
        <w:rPr>
          <w:rFonts w:ascii="Times New Roman" w:hAnsi="Times New Roman" w:cs="Times New Roman"/>
          <w:sz w:val="28"/>
          <w:szCs w:val="28"/>
        </w:rPr>
        <w:t xml:space="preserve">      Положение о Контрольно-сче</w:t>
      </w:r>
      <w:r>
        <w:rPr>
          <w:rFonts w:ascii="Times New Roman" w:hAnsi="Times New Roman" w:cs="Times New Roman"/>
          <w:sz w:val="28"/>
          <w:szCs w:val="28"/>
        </w:rPr>
        <w:t>тной п</w:t>
      </w:r>
      <w:r w:rsidR="00FB2B75" w:rsidRPr="00FB2B75">
        <w:rPr>
          <w:rFonts w:ascii="Times New Roman" w:hAnsi="Times New Roman" w:cs="Times New Roman"/>
          <w:sz w:val="28"/>
          <w:szCs w:val="28"/>
        </w:rPr>
        <w:t>алате Валдайского муниципального района, утверждённое решением Думы Валдайского муниципального района от 30.09.2021 № 83 (да</w:t>
      </w:r>
      <w:r w:rsidR="00C25BF7">
        <w:rPr>
          <w:rFonts w:ascii="Times New Roman" w:hAnsi="Times New Roman" w:cs="Times New Roman"/>
          <w:sz w:val="28"/>
          <w:szCs w:val="28"/>
        </w:rPr>
        <w:t>лее – Положение о Контрольно-сче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>тной палате);</w:t>
      </w:r>
    </w:p>
    <w:p w:rsidR="00FB2B75" w:rsidRPr="00FB2B75" w:rsidRDefault="0069227D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BF7">
        <w:rPr>
          <w:rFonts w:ascii="Times New Roman" w:hAnsi="Times New Roman" w:cs="Times New Roman"/>
          <w:sz w:val="28"/>
          <w:szCs w:val="28"/>
        </w:rPr>
        <w:t>Регламент Контрольно-сче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>тной палаты Валдайского муниципального района, утвержденный приказом</w:t>
      </w:r>
      <w:proofErr w:type="gramStart"/>
      <w:r w:rsidR="00FB2B75" w:rsidRPr="00FB2B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2B75" w:rsidRPr="00FB2B75">
        <w:rPr>
          <w:rFonts w:ascii="Times New Roman" w:hAnsi="Times New Roman" w:cs="Times New Roman"/>
          <w:sz w:val="28"/>
          <w:szCs w:val="28"/>
        </w:rPr>
        <w:t>онтрольно – сч</w:t>
      </w:r>
      <w:r w:rsidR="00C25BF7">
        <w:rPr>
          <w:rFonts w:ascii="Times New Roman" w:hAnsi="Times New Roman" w:cs="Times New Roman"/>
          <w:sz w:val="28"/>
          <w:szCs w:val="28"/>
        </w:rPr>
        <w:t>е</w:t>
      </w:r>
      <w:r w:rsidR="00FB2B75" w:rsidRPr="00FB2B75">
        <w:rPr>
          <w:rFonts w:ascii="Times New Roman" w:hAnsi="Times New Roman" w:cs="Times New Roman"/>
          <w:sz w:val="28"/>
          <w:szCs w:val="28"/>
        </w:rPr>
        <w:t xml:space="preserve">тной палаты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муниципального района </w:t>
      </w:r>
      <w:r w:rsidR="00943BE4">
        <w:rPr>
          <w:rFonts w:ascii="Times New Roman" w:hAnsi="Times New Roman" w:cs="Times New Roman"/>
          <w:sz w:val="28"/>
          <w:szCs w:val="28"/>
        </w:rPr>
        <w:t>от  27.08.2019 №  5</w:t>
      </w:r>
      <w:r w:rsidR="00FB2B75" w:rsidRPr="00FB2B75">
        <w:rPr>
          <w:rFonts w:ascii="Times New Roman" w:hAnsi="Times New Roman" w:cs="Times New Roman"/>
          <w:sz w:val="28"/>
          <w:szCs w:val="28"/>
        </w:rPr>
        <w:t>;</w:t>
      </w:r>
    </w:p>
    <w:p w:rsidR="00FB2B75" w:rsidRPr="00FB2B75" w:rsidRDefault="0069227D" w:rsidP="00FB2B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B75" w:rsidRPr="00FB2B75">
        <w:rPr>
          <w:rFonts w:ascii="Times New Roman" w:hAnsi="Times New Roman" w:cs="Times New Roman"/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</w:t>
      </w:r>
      <w:r w:rsidR="00C25BF7">
        <w:rPr>
          <w:rFonts w:ascii="Times New Roman" w:hAnsi="Times New Roman" w:cs="Times New Roman"/>
          <w:sz w:val="28"/>
          <w:szCs w:val="28"/>
        </w:rPr>
        <w:t>еских мероприятий контрольно-сче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>тными органами субъектов Российской Федерации и муниципальных образова</w:t>
      </w:r>
      <w:r w:rsidR="00C25BF7">
        <w:rPr>
          <w:rFonts w:ascii="Times New Roman" w:hAnsi="Times New Roman" w:cs="Times New Roman"/>
          <w:sz w:val="28"/>
          <w:szCs w:val="28"/>
        </w:rPr>
        <w:t>ний, утвержденными Коллегией 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>тной палаты Российской Федер</w:t>
      </w:r>
      <w:r w:rsidR="00C25BF7">
        <w:rPr>
          <w:rFonts w:ascii="Times New Roman" w:hAnsi="Times New Roman" w:cs="Times New Roman"/>
          <w:sz w:val="28"/>
          <w:szCs w:val="28"/>
        </w:rPr>
        <w:t>ации (постановление Коллегии Сче</w:t>
      </w:r>
      <w:r w:rsidR="00FB2B75" w:rsidRPr="00FB2B75">
        <w:rPr>
          <w:rFonts w:ascii="Times New Roman" w:hAnsi="Times New Roman" w:cs="Times New Roman"/>
          <w:sz w:val="28"/>
          <w:szCs w:val="28"/>
        </w:rPr>
        <w:t>тно</w:t>
      </w:r>
      <w:r w:rsidR="00943BE4">
        <w:rPr>
          <w:rFonts w:ascii="Times New Roman" w:hAnsi="Times New Roman" w:cs="Times New Roman"/>
          <w:sz w:val="28"/>
          <w:szCs w:val="28"/>
        </w:rPr>
        <w:t>й палаты РФ от 29.03.2022 №2ПК).</w:t>
      </w:r>
    </w:p>
    <w:p w:rsidR="00236B85" w:rsidRPr="00FB2B75" w:rsidRDefault="0069227D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="00664A43" w:rsidRPr="00FB2B75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664A43" w:rsidRPr="00FB2B75">
        <w:rPr>
          <w:rFonts w:ascii="Times New Roman" w:eastAsia="Times New Roman" w:hAnsi="Times New Roman" w:cs="Times New Roman"/>
          <w:iCs/>
          <w:sz w:val="28"/>
          <w:szCs w:val="28"/>
        </w:rPr>
        <w:t>.  Целью настоящего Стандарта является установление общих принципов, правил и процедур планирования деятельн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ости Контрольно-счетной палаты</w:t>
      </w:r>
      <w:r w:rsidR="00664A43" w:rsidRPr="00FB2B7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36B85" w:rsidRPr="00FB2B75" w:rsidRDefault="0069227D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664A43" w:rsidRPr="00FB2B75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664A43" w:rsidRPr="00FB2B75">
        <w:rPr>
          <w:rFonts w:ascii="Times New Roman" w:eastAsia="Times New Roman" w:hAnsi="Times New Roman" w:cs="Times New Roman"/>
          <w:iCs/>
          <w:sz w:val="28"/>
          <w:szCs w:val="28"/>
        </w:rPr>
        <w:t>. Задачами настоящего Стандарта являются:</w:t>
      </w:r>
    </w:p>
    <w:p w:rsidR="00236B85" w:rsidRPr="00FB2B7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определение целей, задач и принципов планирования деятельности </w:t>
      </w:r>
      <w:r w:rsidRPr="00FB2B7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FB2B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36B85" w:rsidRPr="00FB2B7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установление порядка формирования и утверждения плана работы </w:t>
      </w:r>
      <w:r w:rsidRPr="00FB2B7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FB2B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36B85" w:rsidRPr="00FB2B7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sz w:val="28"/>
          <w:szCs w:val="28"/>
        </w:rPr>
        <w:t>определение требований к форме, структуре и содержанию п</w:t>
      </w:r>
      <w:r w:rsidR="00E64394">
        <w:rPr>
          <w:rFonts w:ascii="Times New Roman" w:eastAsia="Times New Roman" w:hAnsi="Times New Roman" w:cs="Times New Roman"/>
          <w:sz w:val="28"/>
          <w:szCs w:val="28"/>
        </w:rPr>
        <w:t xml:space="preserve">лана работы Контрольно-счетной </w:t>
      </w:r>
      <w:r w:rsidRPr="00FB2B75">
        <w:rPr>
          <w:rFonts w:ascii="Times New Roman" w:eastAsia="Times New Roman" w:hAnsi="Times New Roman" w:cs="Times New Roman"/>
          <w:sz w:val="28"/>
          <w:szCs w:val="28"/>
        </w:rPr>
        <w:t>палаты;</w:t>
      </w:r>
    </w:p>
    <w:p w:rsidR="00236B85" w:rsidRPr="00FB2B7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sz w:val="28"/>
          <w:szCs w:val="28"/>
        </w:rPr>
        <w:t>установление порядка корректировки и контроля  исполнения плана работы Контрольно-счетной палаты;</w:t>
      </w:r>
    </w:p>
    <w:p w:rsidR="00236B8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sz w:val="28"/>
          <w:szCs w:val="28"/>
        </w:rPr>
        <w:t>установления порядка размещения информации о плане работы Контрольно-счетной палаты.</w:t>
      </w:r>
    </w:p>
    <w:p w:rsidR="0001453B" w:rsidRPr="00FB2B75" w:rsidRDefault="0001453B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A43" w:rsidRPr="00FB2B75" w:rsidRDefault="00664A43" w:rsidP="0001453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b/>
          <w:sz w:val="28"/>
          <w:szCs w:val="28"/>
        </w:rPr>
        <w:t>2. Цель, задачи и принципы планирования деятельности</w:t>
      </w:r>
    </w:p>
    <w:p w:rsidR="00236B85" w:rsidRDefault="00664A43" w:rsidP="0001453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палаты</w:t>
      </w:r>
    </w:p>
    <w:p w:rsidR="00236B85" w:rsidRPr="00FB2B75" w:rsidRDefault="00664A43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="000145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FB2B75">
        <w:rPr>
          <w:rFonts w:ascii="Times New Roman" w:eastAsia="Times New Roman" w:hAnsi="Times New Roman" w:cs="Times New Roman"/>
          <w:sz w:val="28"/>
          <w:szCs w:val="28"/>
        </w:rPr>
        <w:t>2.1. Контрольно-счетная палата осуществляет свою деятельность на основе Положения о Контрольно-счетной палате, а также годового плана работы, который разрабатывается и утверждается Контрольно-счетной палатой самостоятельно.</w:t>
      </w:r>
    </w:p>
    <w:p w:rsidR="00236B85" w:rsidRPr="0001453B" w:rsidRDefault="0001453B" w:rsidP="00FB2B7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64A43" w:rsidRPr="0001453B">
        <w:rPr>
          <w:rFonts w:ascii="Times New Roman" w:eastAsia="Times New Roman" w:hAnsi="Times New Roman" w:cs="Times New Roman"/>
          <w:sz w:val="28"/>
          <w:szCs w:val="28"/>
        </w:rPr>
        <w:t>Планирование осуществляется в целях обеспечения эффективной организации осуществления внешнего муниципального финансового контроля, а также обеспечения выполнения Контрольно-счетной палатой законодательно установленных полномочий.</w:t>
      </w:r>
    </w:p>
    <w:p w:rsidR="00236B85" w:rsidRPr="00FB2B75" w:rsidRDefault="00664A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sz w:val="28"/>
          <w:szCs w:val="28"/>
        </w:rPr>
        <w:tab/>
        <w:t>Планирование осуществляется с учетом всех направлений деятельности Контрольно-счетной палаты, целей и задач бюджетной политики.</w:t>
      </w:r>
    </w:p>
    <w:p w:rsidR="00236B85" w:rsidRDefault="00664A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75">
        <w:rPr>
          <w:rFonts w:ascii="Times New Roman" w:eastAsia="Times New Roman" w:hAnsi="Times New Roman" w:cs="Times New Roman"/>
          <w:sz w:val="28"/>
          <w:szCs w:val="28"/>
        </w:rPr>
        <w:tab/>
        <w:t>2.2. Задачей планирования является формирование и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годового плана работы Контрольно-счетной палаты. </w:t>
      </w:r>
    </w:p>
    <w:p w:rsidR="00236B85" w:rsidRDefault="00664A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 Планирование основывается на системном подходе в соответствии со следующими принципами: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непрерывности планирования;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комплексности планирования (охват планированием всех законодательно установленных полномочий Контрольно-счетной палаты);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равномерности распределения контрольных мероприятий по главным администраторам бюджетных средств;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рациональности распределения трудовых, финансовых, материальных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иных ресурсов, направляемых на обеспечение выполнения задач и функций Контрольно-счетной палаты;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периодичности проведения мероприятий на объектах контроля;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координации плана работы Контрольно-счетной палаты с планами работы других органов государственного (муниципального) финансового контроля.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Планирование должно обеспечивать эффективность использования бюджетных средств, выделяемых Контрольно-счетной палате, трудовых, материальных, информационных и иных ресурсов.</w:t>
      </w:r>
    </w:p>
    <w:p w:rsidR="00236B85" w:rsidRDefault="00664A43">
      <w:pPr>
        <w:spacing w:beforeAutospacing="1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формирования и утверждения плана работы Контрольно-счетной палаты </w:t>
      </w:r>
    </w:p>
    <w:p w:rsidR="00236B85" w:rsidRDefault="00664A4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Годовой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определяет перечень контрольных,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и иных мероприятий, планируемых к проведению в очередном календарном году. 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деятельности Контрольно-счетной палаты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ранее проведенных контрольных и экспертно-аналитических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в том числе по поручениям Думы 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 xml:space="preserve">Валдайского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 xml:space="preserve"> (далее – Дума)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предложениям и запросам Главы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Глава)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Формирование годового плана работы Контрольно-счетной палаты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осуществление следующих действий:</w:t>
      </w:r>
    </w:p>
    <w:p w:rsidR="00236B85" w:rsidRDefault="00664A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предложений в проект годового плана работы Контрольно-счетной палаты;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составление проекта годового плана работы Контрольно-счетной  палаты;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проекта и утверждение годового п</w:t>
      </w:r>
      <w:r w:rsidR="00E64394">
        <w:rPr>
          <w:rFonts w:ascii="Times New Roman" w:eastAsia="Times New Roman" w:hAnsi="Times New Roman" w:cs="Times New Roman"/>
          <w:sz w:val="28"/>
          <w:szCs w:val="28"/>
        </w:rPr>
        <w:t xml:space="preserve">лана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 Обязательному включению в годовой план работы подлежат, направленные в Контрольно-счетную палату до 15 декабря года, предшествующег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о планируемому, поручения Думы</w:t>
      </w:r>
      <w:r>
        <w:rPr>
          <w:rFonts w:ascii="Times New Roman" w:eastAsia="Times New Roman" w:hAnsi="Times New Roman" w:cs="Times New Roman"/>
          <w:sz w:val="28"/>
          <w:szCs w:val="28"/>
        </w:rPr>
        <w:t>, предложения и за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просы Главы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Default="0066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в Думу, Главе, в целях получения поручений, предложений и запросов для включения мероприятий в</w:t>
      </w:r>
      <w:r w:rsidR="0091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годовой план работы Контрольно-счетной палатой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срок до 15 ноября года, предшествующего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Default="00664A4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о включении предлагаемого Думой, Главой мероприятия (мероприятий) в годовой план работы Контрольно-счетной  палаты на очередной календарный год, в Думу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 xml:space="preserve">, Главе, </w:t>
      </w:r>
      <w:r w:rsidR="00E643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течение  5-ти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решения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ответ, содержащий мотивированное обоснование отказа.</w:t>
      </w:r>
    </w:p>
    <w:p w:rsidR="00236B85" w:rsidRDefault="00664A4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отказа является: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предложенное мероприятие не относится в соответствии с федеральным законодательством, нормативными правовыми актами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Положением о Контрольно-счетной палате к полномочиям Контрольно-счетной палаты;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выходит за пределы вопросов местного значения;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объект, в отношении которого предлагается провести контрольное мероприятие, не распространяются полномочия Контрольно-счетной палаты в соответствии с Положением о Контрольно-счетной 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палате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ресурсы Контрольно-счетной </w:t>
      </w:r>
      <w:r w:rsidR="00517499">
        <w:rPr>
          <w:rFonts w:ascii="Times New Roman" w:eastAsia="Times New Roman" w:hAnsi="Times New Roman" w:cs="Times New Roman"/>
          <w:sz w:val="28"/>
          <w:szCs w:val="28"/>
        </w:rPr>
        <w:t>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позволяют выполнить предложенный объем мероприятий.</w:t>
      </w:r>
    </w:p>
    <w:p w:rsidR="00236B85" w:rsidRDefault="00664A4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отказа также может являться: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предлагаемому мероприятию в период, составляющий три года, предшествующих планируемому году, уже имеется заключение и (или) отчет Контрольно-счетной палаты.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координации годового плана раб</w:t>
      </w:r>
      <w:r w:rsidR="007E1BD3">
        <w:rPr>
          <w:rFonts w:ascii="Times New Roman" w:eastAsia="Times New Roman" w:hAnsi="Times New Roman" w:cs="Times New Roman"/>
          <w:sz w:val="28"/>
          <w:szCs w:val="28"/>
        </w:rPr>
        <w:t xml:space="preserve">оты Контрольно-счетной  палаты </w:t>
      </w:r>
      <w:r>
        <w:rPr>
          <w:rFonts w:ascii="Times New Roman" w:eastAsia="Times New Roman" w:hAnsi="Times New Roman" w:cs="Times New Roman"/>
          <w:sz w:val="28"/>
          <w:szCs w:val="28"/>
        </w:rPr>
        <w:t>с планами работы других органов финансового контроля не позднее 10 декабря года, предшествующего планируемому, в финансовый орган муниципального района направляется запрос о перечне объектов, проверенных в текущем финансовом году, с указанием темы контрольного мероприятия и планируемых к проверке в очередном финансовом году.</w:t>
      </w:r>
      <w:proofErr w:type="gramEnd"/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 Непосредственное формирование проекта годового плана работы Контрольно-счетной палаты осуществляет должностное лицо Контрольно-счетной палаты, ответственное за формирование проекта годового плана работы Контрольно-счетной палаты на очередной календарный год (далее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ответственное лицо), назначенное председателем Контрольно-счетной палаты.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Предложения в проект годового плана работы Контрольно-счетной палаты могут представляться председателем Контрольно-счетной палаты.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должны содержать следующие данные: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мероприятия </w:t>
      </w:r>
      <w:r w:rsidR="007877B3">
        <w:rPr>
          <w:rFonts w:ascii="Times New Roman" w:eastAsia="Times New Roman" w:hAnsi="Times New Roman" w:cs="Times New Roman"/>
          <w:sz w:val="28"/>
          <w:szCs w:val="28"/>
        </w:rPr>
        <w:t xml:space="preserve">(по контрольным мероприятиям). </w:t>
      </w:r>
      <w:r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предложение о включении контрольного мероприятия в годовой план работы Контрольно-счетной палаты может не содержать перечня объектов мероприятия.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 При подготовке предложений в проект годового плана работы должны соблюдаться следующие требования:</w:t>
      </w:r>
    </w:p>
    <w:p w:rsidR="00236B85" w:rsidRDefault="00787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 н</w:t>
      </w:r>
      <w:r w:rsidR="00664A43">
        <w:rPr>
          <w:rFonts w:ascii="Times New Roman" w:eastAsia="Times New Roman" w:hAnsi="Times New Roman" w:cs="Times New Roman"/>
          <w:sz w:val="28"/>
          <w:szCs w:val="28"/>
        </w:rPr>
        <w:t>аименование планируемого мероприятия должно соответствовать полномочиям Контрольно-счетной палаты, установленным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онтрольно – счетной палате</w:t>
      </w:r>
      <w:r w:rsidR="00664A43">
        <w:rPr>
          <w:rFonts w:ascii="Times New Roman" w:eastAsia="Times New Roman" w:hAnsi="Times New Roman" w:cs="Times New Roman"/>
          <w:sz w:val="28"/>
          <w:szCs w:val="28"/>
        </w:rPr>
        <w:t>, иметь четкую, однозначную формулировку и содержать следующие сведения: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мероприятия (проверка, обследование, экспертиза и др.); 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</w:t>
      </w:r>
      <w:r w:rsidR="007877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программы); 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полные и точные наименования объектов, подлежащих контролю в ходе контрольного мероприятия, с указанием их организационно-правовой формы  (если объекты не определены в плане работы, делается отметка - объекты определяются приказом председателя Контрольно-счетной палаты о проведении контрольного мероприятия);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контролируемый (проверяемый, анализируемый и др.) период (как правило, не более 3 лет);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наименования органов (организаций), совместно (параллельно) с которыми планируется проведение мероприятия (в случае планирования проведения совместного (параллельного) контрольного (экспертно-аналитического) мероприятия).</w:t>
      </w:r>
      <w:proofErr w:type="gramEnd"/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3.7.2.  При определении срока проведения контрольного (экспертно-аналитического) мероприятия учитываются сроки подготовки и проведения планируемого мероприятия, оформления его результатов.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3.7.3.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палаты, ответственное за проведение конкретного мероприятия, определяется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 палаты.</w:t>
      </w:r>
    </w:p>
    <w:p w:rsidR="00236B85" w:rsidRDefault="00664A4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Основанием для включения контрольного (экспертно-аналитического) мероприятия в проект  годового плана работы </w:t>
      </w:r>
      <w:r w:rsidR="007E1BD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нормы Бюджетного кодекса Российской Федерации, Положения о Контрольно-счетной палате, иных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определяющие полномочия Контрольно-счетной палаты,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которых планируется проведение мероприятия; 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поручения Думы;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запросы Главы;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предложения, обращения, направляемые в Контрольно-счетную палату в соответствии с законодательством Российской Федерации.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выборе объекта контроля либо темы для включения в проект годового плана работы Контрольно-счетной палаты 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  <w:proofErr w:type="gramEnd"/>
    </w:p>
    <w:p w:rsidR="00236B85" w:rsidRDefault="0066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Повторные проверки могут также проводиться в целях осуществления контроля полноты исполнения представлений (предписаний), н</w:t>
      </w:r>
      <w:r w:rsidR="007877B3">
        <w:rPr>
          <w:rFonts w:ascii="Times New Roman" w:eastAsia="Times New Roman" w:hAnsi="Times New Roman" w:cs="Times New Roman"/>
          <w:sz w:val="28"/>
          <w:szCs w:val="28"/>
        </w:rPr>
        <w:t xml:space="preserve">аправленных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7877B3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предыдущих контрольных мероприятий.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3.7.6. При выборе предмета контрольного (экспертно-аналитического) мероприятия учитываются следующие критерии: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предмета мероприятия полномочиям Контрольно-счетной  палаты, установленным Бюджетным кодексом Российской Федерации, действующим законодательством, Положением о Контрольно-счетной  палате, иными нормативными правовыми актами Российской Федерации, Новгородской области,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предмета мероприятия.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предмета мероприятия также учитывается: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236B85" w:rsidRDefault="00664A4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средств, подлежащих контролю в данной сфере и (или) используемых объектами мероприятия;</w:t>
      </w:r>
    </w:p>
    <w:p w:rsidR="00236B85" w:rsidRDefault="00664A4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сроки и результаты проведения предшествующих контрольных мероприятий в данной сфере и (или) на данных объектах.</w:t>
      </w:r>
    </w:p>
    <w:p w:rsidR="00236B85" w:rsidRPr="00DD440F" w:rsidRDefault="00DD440F" w:rsidP="00DD440F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4A43" w:rsidRPr="00DD440F">
        <w:rPr>
          <w:rFonts w:ascii="Times New Roman" w:eastAsia="Times New Roman" w:hAnsi="Times New Roman" w:cs="Times New Roman"/>
          <w:sz w:val="28"/>
          <w:szCs w:val="28"/>
        </w:rPr>
        <w:t xml:space="preserve">3.7.7. 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случаев поступления поручений Думы,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 и запросов Главы</w:t>
      </w:r>
      <w:r w:rsidR="00664A43" w:rsidRPr="00DD4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Pr="00DD440F" w:rsidRDefault="00DD440F" w:rsidP="00DD440F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4A43" w:rsidRPr="00DD440F">
        <w:rPr>
          <w:rFonts w:ascii="Times New Roman" w:eastAsia="Times New Roman" w:hAnsi="Times New Roman" w:cs="Times New Roman"/>
          <w:sz w:val="28"/>
          <w:szCs w:val="28"/>
        </w:rPr>
        <w:t>Данное положение не распространяется на органы местного самоуправления, муниципальные органы, организации,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реждения муниципального района, </w:t>
      </w:r>
      <w:r w:rsidR="00664A43" w:rsidRPr="00DD440F">
        <w:rPr>
          <w:rFonts w:ascii="Times New Roman" w:eastAsia="Times New Roman" w:hAnsi="Times New Roman" w:cs="Times New Roman"/>
          <w:sz w:val="28"/>
          <w:szCs w:val="28"/>
        </w:rPr>
        <w:t>являющиеся главными администраторами бюджетных средств,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236B85" w:rsidRDefault="0066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проведения контрольных мероприятий на одном объекте по нескольким вопросам и направлениям деятельности Контрольно-счетной палаты, данные мероприятия могут объединяться в одно комплексное контрольное мероприятие.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объектов мероприятия также не допускается включение в проект годового плана работы объектов, на которые не распространяются полномочия Контрольно-счетной  палаты в соответствии с Положением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Start"/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DD440F">
        <w:rPr>
          <w:rFonts w:ascii="Times New Roman" w:eastAsia="Times New Roman" w:hAnsi="Times New Roman" w:cs="Times New Roman"/>
          <w:sz w:val="28"/>
          <w:szCs w:val="28"/>
        </w:rPr>
        <w:t>онтрольно – счетной палате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Годовой 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 должен быть сформирован реально-выполнимым и создавать условия для качественного выполнения планируемых мероприятий, в установленные сроки исходя из полного использования годового объема служебного времени каждого сотрудника Контрольно-счетной палаты.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 в срок до 27 декабря текущего календарного года рассматривает проект годового плана работы на очередной календарный год, вносит в него (при необходимости) уточнения и изменения и (или) принимает решение о его утверждении.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Годовой план работы Контрольно-счетной палаты утверждается приказом председателя Контрольно-счетной палаты в срок до 30 декабря года, предшествующего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85" w:rsidRDefault="00664A43">
      <w:pPr>
        <w:spacing w:beforeAutospacing="1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Форма, структура и содержание плана работы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онтрольно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счетной палаты</w:t>
      </w:r>
    </w:p>
    <w:p w:rsidR="00236B85" w:rsidRDefault="00664A4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 Годовой план работы Контрольно-счетной палаты имеет табличную форму, соответствующую форме, приведенной в приложении 1 к данному Стандарту. 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4.2.Годовой </w:t>
      </w:r>
      <w:r w:rsidR="007E1BD3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 состоит из разделов: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Экспертно-аналитические мероприятия.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Контрольные мероприятия.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Иные мероприятия</w:t>
      </w:r>
    </w:p>
    <w:p w:rsidR="00664A43" w:rsidRDefault="00664A43" w:rsidP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радел и мероприятия плана работы имеют свой номер и свое наименование. </w:t>
      </w:r>
    </w:p>
    <w:p w:rsidR="00664A43" w:rsidRDefault="00664A43" w:rsidP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 В графе «Перечень мероприятий» отражаются наименования планируемых мероприятий в разрезе направлений деятельности Контрольно-счетной палаты, содержащие данные в соответствии с пунктом 3.7.1 настоящего Стандарта.</w:t>
      </w:r>
    </w:p>
    <w:p w:rsidR="00236B85" w:rsidRDefault="00664A43" w:rsidP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 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графе «Срок исполнения»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срок проведения (квартал или месяц текущего календарного года) мероприятия, включающий в себя сроки подготовки и проведения планируемого мероприятия, оформления его результатов.</w:t>
      </w:r>
    </w:p>
    <w:p w:rsidR="00236B85" w:rsidRDefault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664A43" w:rsidRDefault="00664A43" w:rsidP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невозможности установления конкретного срока проведения мероприятия, допустимо указание «по мере поступления» либо «в течение года». </w:t>
      </w:r>
    </w:p>
    <w:p w:rsidR="00236B85" w:rsidRDefault="00664A43" w:rsidP="0066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 Структура плана работы Контрольно-счетной палаты может быть изменена с учетом особенностей и специфики организации внешнего муниципального финансового контроля.</w:t>
      </w:r>
    </w:p>
    <w:p w:rsidR="00236B85" w:rsidRDefault="00664A43" w:rsidP="00664A43">
      <w:pPr>
        <w:spacing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корректировки плана работы Контрольно-счетной палаты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 Корректировка плана работы Контрольно-счетной  палаты осуществляется в случаях: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Новгородской области,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поступления в течение текущего календарного года поручений Думы, предложений и запросов Главы;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отвлечения сотрудников, участвующих в проведении запланированного мероприятия на мероприятия, включенные в план работы Контрольно-счетной палаты на основании поступивших в текущем календарном году в Контрольно-счетную палату поручений Думы, предложений и запросов Главы;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возникновением проблем с формированием состава непосредственных исполнителей запланированных мероприятий вследствие организационно-штатных мероприятий, продолжительной болезни, увольнения, внепланового отпуска сотрудников Контрольно-счетной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палаты, участвующих в проведении мероприятия и невозможности их замены другими сотрудниками;</w:t>
      </w:r>
    </w:p>
    <w:p w:rsidR="00236B85" w:rsidRDefault="00664A43">
      <w:pPr>
        <w:spacing w:beforeAutospacing="1" w:afterAutospacing="1" w:line="1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других случаях.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Корректировка плана работы Контрольно-счетной палаты может быть произведена на основании: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должно</w:t>
      </w:r>
      <w:r w:rsidR="007E1BD3">
        <w:rPr>
          <w:rFonts w:ascii="Times New Roman" w:eastAsia="Times New Roman" w:hAnsi="Times New Roman" w:cs="Times New Roman"/>
          <w:sz w:val="28"/>
          <w:szCs w:val="28"/>
        </w:rPr>
        <w:t xml:space="preserve">стного лица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палаты;</w:t>
      </w:r>
    </w:p>
    <w:p w:rsidR="00236B85" w:rsidRDefault="00DD440F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поручений Думы</w:t>
      </w:r>
      <w:r w:rsidR="00664A43">
        <w:rPr>
          <w:rFonts w:ascii="Times New Roman" w:eastAsia="Times New Roman" w:hAnsi="Times New Roman" w:cs="Times New Roman"/>
          <w:sz w:val="28"/>
          <w:szCs w:val="28"/>
        </w:rPr>
        <w:t>, предложений и запросов Главы, поступивших в течение текущего календарного года;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предложений, обращений, направляемых в Контрольно-счетную палату в соответствии с законодательством Российской Федерации.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Предложение должностного лица Контрольно-счетной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палаты о корректировке плана работы оформляется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служебной запиской на имя председателя Контрольно-счетной палаты с указанием:</w:t>
      </w:r>
    </w:p>
    <w:p w:rsidR="00236B85" w:rsidRDefault="00664A43" w:rsidP="00DD440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 необходим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>ости корректировки плана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предлагаемых корректировок плана работы, оформленных в соответствии с требованиями, указанными в разделе 3 настоящего Стандарта.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Поручения Думы, предложения и запросы Главы, иные предложения и обращения, направленные в Контрольно-счетную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палату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влекущие изменения плана работы, расс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матриваются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палатой в 5-дневный срок со дня их поступления. По рез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>ультатам их рассмотрения в Думу</w:t>
      </w:r>
      <w:r>
        <w:rPr>
          <w:rFonts w:ascii="Times New Roman" w:eastAsia="Times New Roman" w:hAnsi="Times New Roman" w:cs="Times New Roman"/>
          <w:sz w:val="28"/>
          <w:szCs w:val="28"/>
        </w:rPr>
        <w:t>, Главе, органу, организации, направившему предложение, обращение,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направляется ответ о включении мероприятия (мероприятий) в план работы Контрольно-счетной палаты на текущий год, либо отказ во включении мероприятия (мероприятий) в план работы, содержащий мотивированное обоснование.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отказа включения в план работы Контрольно-счетной  палаты: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предлагаемому мероприятию уже имеется заключение и 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(или) отчет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предложенное мероприятие в соответствии с федеральным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законодательством, нормативными правовыми актами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Положением не относится к </w:t>
      </w:r>
      <w:r w:rsidR="00B13DF5">
        <w:rPr>
          <w:rFonts w:ascii="Times New Roman" w:eastAsia="Times New Roman" w:hAnsi="Times New Roman" w:cs="Times New Roman"/>
          <w:sz w:val="28"/>
          <w:szCs w:val="28"/>
        </w:rPr>
        <w:t xml:space="preserve">полномочиям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выходит за пределы вопросов местного значения;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объект, в отношении которого предлагается провести контрольное мероприятие, не распространяются полномочия Контрольно-счетной палаты в соответствии с Положением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Start"/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DD440F">
        <w:rPr>
          <w:rFonts w:ascii="Times New Roman" w:eastAsia="Times New Roman" w:hAnsi="Times New Roman" w:cs="Times New Roman"/>
          <w:sz w:val="28"/>
          <w:szCs w:val="28"/>
        </w:rPr>
        <w:t>онтрольно – счетной палате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ресурсы Контрольно-счетной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палаты не позволяют выполнить предложенный объем мероприятий.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 Корректировка п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лана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 может осуществляться в виде: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наименования мероприятий;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перечня объектов мероприятия;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состава лиц, ответственных за проведение мероприятий;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исключения мероприятий из плана;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включения дополнительных мероприятий в план. 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Корректировка плана работы утверждается приказом председателя Контрольно-счетной палаты.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о внесении изменений в план работы, после его утверждения председателем Кон</w:t>
      </w:r>
      <w:r w:rsidR="00DD440F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палаты, представляется для ознакомления всем должностным лицам Контрольно-счетной палаты.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Контроль исполнения плана работы Контрольно-счетной палаты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6.1. 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годового плана работы Контрольно-счетной палаты осуществляется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Информация об исполнении плана работы за год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включается в годовой отчет о д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еятельности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spacing w:beforeAutospacing="1" w:afterAutospacing="1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размещения информации о плане работы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онтрольно-  счетной палаты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Контрольно-счетная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палата в целях обеспечения доступа к информации своей деятельности план работы, размещает на официальном сайте Администрации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«Контрольно-счетная палата».</w:t>
      </w:r>
    </w:p>
    <w:p w:rsidR="00236B85" w:rsidRDefault="00664A43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случае корректировки плана работы Контрольно-счетной палаты, план работы с учетом изменений также размещается в разделе «Контрольно-счетная</w:t>
      </w:r>
      <w:r w:rsidR="00872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палата» на официальном сайте Администрации </w:t>
      </w:r>
      <w:r w:rsidR="00BE0869">
        <w:rPr>
          <w:rFonts w:ascii="Times New Roman" w:eastAsia="Times New Roman" w:hAnsi="Times New Roman" w:cs="Times New Roman"/>
          <w:sz w:val="28"/>
          <w:szCs w:val="28"/>
        </w:rPr>
        <w:t>Валдайского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36B85" w:rsidRDefault="00664A43">
      <w:pPr>
        <w:widowControl w:val="0"/>
        <w:spacing w:beforeAutospacing="1" w:afterAutospacing="1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36B85" w:rsidRDefault="00664A43">
      <w:pPr>
        <w:widowControl w:val="0"/>
        <w:spacing w:beforeAutospacing="1" w:afterAutospacing="1" w:line="240" w:lineRule="auto"/>
        <w:ind w:firstLine="708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236B8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B13DF5" w:rsidRDefault="00B13DF5">
      <w:pPr>
        <w:widowControl w:val="0"/>
        <w:spacing w:beforeAutospacing="1" w:afterAutospacing="1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</w:p>
    <w:p w:rsidR="00236B85" w:rsidRDefault="00664A43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36B85" w:rsidRDefault="00664A43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стандарту </w:t>
      </w:r>
    </w:p>
    <w:p w:rsidR="00236B85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36B85" w:rsidRPr="0059417E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>УТВЕРЖД</w:t>
      </w:r>
      <w:r w:rsidR="0059417E" w:rsidRPr="0059417E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</w:p>
    <w:p w:rsidR="00236B85" w:rsidRPr="0059417E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9417E" w:rsidRPr="0059417E">
        <w:rPr>
          <w:rFonts w:ascii="Times New Roman" w:eastAsia="Times New Roman" w:hAnsi="Times New Roman" w:cs="Times New Roman"/>
          <w:b/>
          <w:sz w:val="24"/>
          <w:szCs w:val="24"/>
        </w:rPr>
        <w:t>Приказом п</w:t>
      </w: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 w:rsidR="0059417E" w:rsidRPr="0059417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Start"/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онтрольно- </w:t>
      </w:r>
    </w:p>
    <w:p w:rsidR="00236B85" w:rsidRPr="0059417E" w:rsidRDefault="00664A43" w:rsidP="0059417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счетной палаты  </w:t>
      </w:r>
    </w:p>
    <w:p w:rsidR="00236B85" w:rsidRPr="0059417E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муниципального района</w:t>
      </w:r>
    </w:p>
    <w:p w:rsidR="0059417E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9417E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236B85" w:rsidRPr="0059417E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236B85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«__»________  20</w:t>
      </w:r>
      <w:r w:rsidR="0059417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9417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г.</w:t>
      </w:r>
    </w:p>
    <w:p w:rsidR="00236B85" w:rsidRDefault="0023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B85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РАБОТЫ</w:t>
      </w:r>
    </w:p>
    <w:p w:rsidR="00236B85" w:rsidRDefault="0066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палаты  </w:t>
      </w:r>
    </w:p>
    <w:p w:rsidR="00236B85" w:rsidRDefault="00BE0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Валдайского</w:t>
      </w:r>
      <w:r w:rsidR="00664A4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36B85" w:rsidRDefault="00664A43">
      <w:pPr>
        <w:spacing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_______ год</w:t>
      </w:r>
    </w:p>
    <w:tbl>
      <w:tblPr>
        <w:tblW w:w="8789" w:type="dxa"/>
        <w:tblInd w:w="109" w:type="dxa"/>
        <w:tblLook w:val="04A0"/>
      </w:tblPr>
      <w:tblGrid>
        <w:gridCol w:w="710"/>
        <w:gridCol w:w="5527"/>
        <w:gridCol w:w="2552"/>
      </w:tblGrid>
      <w:tr w:rsidR="00236B8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36B85">
        <w:trPr>
          <w:trHeight w:val="302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236B85">
        <w:trPr>
          <w:trHeight w:val="3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25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мероприятия 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мероприятия 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36B85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236B8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85" w:rsidRDefault="00664A4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236B85" w:rsidRDefault="00236B85">
      <w:pPr>
        <w:rPr>
          <w:rFonts w:ascii="Times New Roman" w:hAnsi="Times New Roman" w:cs="Times New Roman"/>
          <w:sz w:val="28"/>
          <w:szCs w:val="28"/>
        </w:rPr>
      </w:pPr>
    </w:p>
    <w:sectPr w:rsidR="00236B85" w:rsidSect="00F71AE4">
      <w:headerReference w:type="default" r:id="rId7"/>
      <w:pgSz w:w="11906" w:h="16838"/>
      <w:pgMar w:top="1134" w:right="850" w:bottom="1134" w:left="1701" w:header="39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4D" w:rsidRDefault="002F784D" w:rsidP="006240CA">
      <w:pPr>
        <w:spacing w:after="0" w:line="240" w:lineRule="auto"/>
      </w:pPr>
      <w:r>
        <w:separator/>
      </w:r>
    </w:p>
  </w:endnote>
  <w:endnote w:type="continuationSeparator" w:id="1">
    <w:p w:rsidR="002F784D" w:rsidRDefault="002F784D" w:rsidP="006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4D" w:rsidRDefault="002F784D" w:rsidP="006240CA">
      <w:pPr>
        <w:spacing w:after="0" w:line="240" w:lineRule="auto"/>
      </w:pPr>
      <w:r>
        <w:separator/>
      </w:r>
    </w:p>
  </w:footnote>
  <w:footnote w:type="continuationSeparator" w:id="1">
    <w:p w:rsidR="002F784D" w:rsidRDefault="002F784D" w:rsidP="0062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84"/>
      <w:docPartObj>
        <w:docPartGallery w:val="Page Numbers (Top of Page)"/>
        <w:docPartUnique/>
      </w:docPartObj>
    </w:sdtPr>
    <w:sdtContent>
      <w:p w:rsidR="006240CA" w:rsidRDefault="00580D6E">
        <w:pPr>
          <w:pStyle w:val="ae"/>
          <w:jc w:val="center"/>
        </w:pPr>
        <w:fldSimple w:instr=" PAGE   \* MERGEFORMAT ">
          <w:r w:rsidR="00514D31">
            <w:rPr>
              <w:noProof/>
            </w:rPr>
            <w:t>4</w:t>
          </w:r>
        </w:fldSimple>
      </w:p>
    </w:sdtContent>
  </w:sdt>
  <w:p w:rsidR="006240CA" w:rsidRDefault="006240CA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B85"/>
    <w:rsid w:val="0001453B"/>
    <w:rsid w:val="000F48F0"/>
    <w:rsid w:val="00107FB5"/>
    <w:rsid w:val="00155FB2"/>
    <w:rsid w:val="00191DB9"/>
    <w:rsid w:val="001A5434"/>
    <w:rsid w:val="00236B85"/>
    <w:rsid w:val="002F784D"/>
    <w:rsid w:val="00343619"/>
    <w:rsid w:val="00350C8A"/>
    <w:rsid w:val="004848FD"/>
    <w:rsid w:val="004D61EB"/>
    <w:rsid w:val="00514D31"/>
    <w:rsid w:val="00517499"/>
    <w:rsid w:val="0055267F"/>
    <w:rsid w:val="00572C5F"/>
    <w:rsid w:val="00580D6E"/>
    <w:rsid w:val="0059417E"/>
    <w:rsid w:val="005D20A2"/>
    <w:rsid w:val="006240CA"/>
    <w:rsid w:val="00664A43"/>
    <w:rsid w:val="0069227D"/>
    <w:rsid w:val="006A7A47"/>
    <w:rsid w:val="007877B3"/>
    <w:rsid w:val="007E1BD3"/>
    <w:rsid w:val="0082531E"/>
    <w:rsid w:val="00872638"/>
    <w:rsid w:val="008E282F"/>
    <w:rsid w:val="00917CB1"/>
    <w:rsid w:val="00943BE4"/>
    <w:rsid w:val="00950456"/>
    <w:rsid w:val="00981AC7"/>
    <w:rsid w:val="00AB61F2"/>
    <w:rsid w:val="00B07CBF"/>
    <w:rsid w:val="00B13DF5"/>
    <w:rsid w:val="00BA06EA"/>
    <w:rsid w:val="00BA0965"/>
    <w:rsid w:val="00BB522E"/>
    <w:rsid w:val="00BE0869"/>
    <w:rsid w:val="00C25BF7"/>
    <w:rsid w:val="00C31858"/>
    <w:rsid w:val="00C478F4"/>
    <w:rsid w:val="00C87AA8"/>
    <w:rsid w:val="00CE6142"/>
    <w:rsid w:val="00D47127"/>
    <w:rsid w:val="00D5583C"/>
    <w:rsid w:val="00D97825"/>
    <w:rsid w:val="00DD102A"/>
    <w:rsid w:val="00DD440F"/>
    <w:rsid w:val="00E477D7"/>
    <w:rsid w:val="00E64394"/>
    <w:rsid w:val="00EC70D2"/>
    <w:rsid w:val="00F71AE4"/>
    <w:rsid w:val="00FB2B75"/>
    <w:rsid w:val="00FC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BCA"/>
    <w:rPr>
      <w:b/>
      <w:bCs/>
    </w:rPr>
  </w:style>
  <w:style w:type="character" w:styleId="a4">
    <w:name w:val="Emphasis"/>
    <w:basedOn w:val="a0"/>
    <w:uiPriority w:val="20"/>
    <w:qFormat/>
    <w:rsid w:val="001B6BCA"/>
    <w:rPr>
      <w:i/>
      <w:iCs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uiPriority w:val="10"/>
    <w:qFormat/>
    <w:rsid w:val="001B6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8C0063"/>
    <w:rPr>
      <w:sz w:val="16"/>
      <w:szCs w:val="16"/>
    </w:rPr>
  </w:style>
  <w:style w:type="paragraph" w:customStyle="1" w:styleId="a7">
    <w:name w:val="Заголовок"/>
    <w:basedOn w:val="a"/>
    <w:next w:val="a8"/>
    <w:qFormat/>
    <w:rsid w:val="00236B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36B85"/>
    <w:pPr>
      <w:spacing w:after="140"/>
    </w:pPr>
  </w:style>
  <w:style w:type="paragraph" w:styleId="a9">
    <w:name w:val="List"/>
    <w:basedOn w:val="a8"/>
    <w:rsid w:val="00236B85"/>
    <w:rPr>
      <w:rFonts w:cs="Arial"/>
    </w:rPr>
  </w:style>
  <w:style w:type="paragraph" w:customStyle="1" w:styleId="Caption">
    <w:name w:val="Caption"/>
    <w:basedOn w:val="a"/>
    <w:qFormat/>
    <w:rsid w:val="00236B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36B85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1B6B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uiPriority w:val="99"/>
    <w:semiHidden/>
    <w:unhideWhenUsed/>
    <w:rsid w:val="001B6B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1B6B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uiPriority w:val="10"/>
    <w:qFormat/>
    <w:rsid w:val="001B6B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uiPriority w:val="99"/>
    <w:semiHidden/>
    <w:unhideWhenUsed/>
    <w:qFormat/>
    <w:rsid w:val="008C0063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C1207"/>
  </w:style>
  <w:style w:type="paragraph" w:styleId="ae">
    <w:name w:val="header"/>
    <w:basedOn w:val="a"/>
    <w:link w:val="af"/>
    <w:uiPriority w:val="99"/>
    <w:unhideWhenUsed/>
    <w:rsid w:val="0062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40CA"/>
  </w:style>
  <w:style w:type="paragraph" w:styleId="af0">
    <w:name w:val="footer"/>
    <w:basedOn w:val="a"/>
    <w:link w:val="af1"/>
    <w:uiPriority w:val="99"/>
    <w:unhideWhenUsed/>
    <w:rsid w:val="0062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59F1-7F24-4D24-ABB9-17373ED2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e.a.isakova</dc:creator>
  <dc:description/>
  <cp:lastModifiedBy>КСП1</cp:lastModifiedBy>
  <cp:revision>20</cp:revision>
  <cp:lastPrinted>2015-08-11T12:08:00Z</cp:lastPrinted>
  <dcterms:created xsi:type="dcterms:W3CDTF">2023-08-08T07:40:00Z</dcterms:created>
  <dcterms:modified xsi:type="dcterms:W3CDTF">2023-11-15T13:14:00Z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