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Проект</w:t>
      </w:r>
    </w:p>
    <w:p w14:paraId="04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Российская Федерация</w:t>
      </w:r>
    </w:p>
    <w:p w14:paraId="05000000">
      <w:pPr>
        <w:pStyle w:val="Style_2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6000000">
      <w:pPr>
        <w:spacing w:line="80" w:lineRule="exact"/>
        <w:ind/>
      </w:pPr>
    </w:p>
    <w:p w14:paraId="07000000">
      <w:pPr>
        <w:pStyle w:val="Style_3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АДМИНИСТРАЦИЯ ВАЛДАЙСКОГО </w:t>
      </w:r>
      <w:r>
        <w:rPr>
          <w:color w:val="000000"/>
          <w:sz w:val="24"/>
        </w:rPr>
        <w:t xml:space="preserve">МУНИЦИПАЛЬНОГО </w:t>
      </w:r>
      <w:r>
        <w:rPr>
          <w:color w:val="000000"/>
          <w:sz w:val="24"/>
        </w:rPr>
        <w:t>РАЙОНА</w:t>
      </w:r>
    </w:p>
    <w:p w14:paraId="08000000">
      <w:pPr>
        <w:spacing w:line="80" w:lineRule="exact"/>
        <w:ind/>
        <w:rPr>
          <w:sz w:val="12"/>
        </w:rPr>
      </w:pPr>
    </w:p>
    <w:p w14:paraId="09000000">
      <w:pPr>
        <w:pStyle w:val="Style_4"/>
      </w:pPr>
      <w:r>
        <w:t>П О С Т А Н О В Л Е Н И Е</w:t>
      </w:r>
    </w:p>
    <w:p w14:paraId="0A000000">
      <w:pPr>
        <w:ind/>
        <w:jc w:val="center"/>
        <w:rPr>
          <w:rFonts w:ascii="Courier New" w:hAnsi="Courier New"/>
          <w:color w:val="000000"/>
          <w:sz w:val="28"/>
        </w:rPr>
      </w:pPr>
    </w:p>
    <w:p w14:paraId="0B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№</w:t>
      </w:r>
    </w:p>
    <w:p w14:paraId="0C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14:paraId="0D000000">
      <w:pPr>
        <w:pStyle w:val="Style_5"/>
        <w:tabs>
          <w:tab w:leader="none" w:pos="240" w:val="left"/>
          <w:tab w:leader="none" w:pos="6240" w:val="left"/>
          <w:tab w:leader="none" w:pos="6840" w:val="left"/>
        </w:tabs>
        <w:ind/>
        <w:jc w:val="center"/>
      </w:pPr>
    </w:p>
    <w:p w14:paraId="0E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2"/>
          <w:sz w:val="28"/>
        </w:rPr>
        <w:t xml:space="preserve">Об утверждении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рограммы профилактики рисков </w:t>
      </w:r>
    </w:p>
    <w:p w14:paraId="0F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причинения вреда (ущерба) охраняемым законом </w:t>
      </w:r>
    </w:p>
    <w:p w14:paraId="10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ценностям в рамках осуществления муниципального </w:t>
      </w:r>
    </w:p>
    <w:p w14:paraId="11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контроля за исполнением единой теплоснабжающей </w:t>
      </w:r>
    </w:p>
    <w:p w14:paraId="12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организацией обязательств по строительству, реконструкции</w:t>
      </w:r>
    </w:p>
    <w:p w14:paraId="13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и (или) модернизации объектов теплоснабжения</w:t>
      </w:r>
      <w:r>
        <w:rPr>
          <w:rFonts w:ascii="Times New Roman" w:hAnsi="Times New Roman"/>
          <w:b w:val="1"/>
          <w:spacing w:val="2"/>
          <w:sz w:val="28"/>
        </w:rPr>
        <w:t xml:space="preserve"> в границах Валдайского муниципального района на 2025 год</w:t>
      </w:r>
    </w:p>
    <w:p w14:paraId="14000000">
      <w:pPr>
        <w:pStyle w:val="Style_6"/>
        <w:ind w:firstLine="0" w:left="0"/>
        <w:jc w:val="center"/>
        <w:rPr>
          <w:rFonts w:ascii="Times New Roman" w:hAnsi="Times New Roman"/>
          <w:sz w:val="28"/>
        </w:rPr>
      </w:pPr>
    </w:p>
    <w:p w14:paraId="15000000">
      <w:pPr>
        <w:pStyle w:val="Style_6"/>
        <w:ind w:firstLine="0" w:left="0"/>
        <w:jc w:val="center"/>
        <w:rPr>
          <w:rFonts w:ascii="Times New Roman" w:hAnsi="Times New Roman"/>
          <w:sz w:val="28"/>
        </w:rPr>
      </w:pPr>
    </w:p>
    <w:p w14:paraId="16000000">
      <w:pPr>
        <w:pStyle w:val="Style_6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 октября </w:t>
      </w:r>
      <w:r>
        <w:rPr>
          <w:rFonts w:ascii="Times New Roman" w:hAnsi="Times New Roman"/>
          <w:sz w:val="28"/>
        </w:rPr>
        <w:t>2003 г</w:t>
      </w:r>
      <w:r>
        <w:rPr>
          <w:rFonts w:ascii="Times New Roman" w:hAnsi="Times New Roman"/>
          <w:sz w:val="28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Федеральным законом от 31 июля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года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</w:rPr>
        <w:t xml:space="preserve"> Администрация Валдайского муниципального района </w:t>
      </w:r>
      <w:r>
        <w:rPr>
          <w:rFonts w:ascii="Times New Roman" w:hAnsi="Times New Roman"/>
          <w:b w:val="1"/>
          <w:sz w:val="28"/>
        </w:rPr>
        <w:t>ПОСТ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НОВЛЯЕТ:</w:t>
      </w:r>
    </w:p>
    <w:p w14:paraId="17000000">
      <w:pPr>
        <w:pStyle w:val="Style_6"/>
        <w:ind w:firstLine="709" w:left="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п</w:t>
      </w:r>
      <w:r>
        <w:rPr>
          <w:rFonts w:ascii="Times New Roman" w:hAnsi="Times New Roman"/>
          <w:sz w:val="28"/>
        </w:rPr>
        <w:t>рограмму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</w:t>
      </w:r>
      <w:r>
        <w:rPr>
          <w:rFonts w:ascii="Times New Roman" w:hAnsi="Times New Roman"/>
          <w:sz w:val="28"/>
        </w:rPr>
        <w:t xml:space="preserve">зательств по строительству, </w:t>
      </w:r>
      <w:r>
        <w:rPr>
          <w:rFonts w:ascii="Times New Roman" w:hAnsi="Times New Roman"/>
          <w:sz w:val="28"/>
        </w:rPr>
        <w:t>реконструкции и (или) модернизации объектов теплоснабжения</w:t>
      </w:r>
      <w:r>
        <w:rPr>
          <w:rFonts w:ascii="Times New Roman" w:hAnsi="Times New Roman"/>
          <w:spacing w:val="2"/>
          <w:sz w:val="28"/>
        </w:rPr>
        <w:t xml:space="preserve"> в границах Валдайского муниципального района на 2025 год.</w:t>
      </w:r>
    </w:p>
    <w:p w14:paraId="18000000">
      <w:pPr>
        <w:pStyle w:val="Style_7"/>
        <w:tabs>
          <w:tab w:leader="none" w:pos="480" w:val="left"/>
        </w:tabs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Опубликовать </w:t>
      </w:r>
      <w:r>
        <w:rPr>
          <w:sz w:val="28"/>
        </w:rPr>
        <w:t>постановление в бюллетене «Валдайский Вестник» и разместить на официальном сайте Администрации Валдайского муниципаль</w:t>
      </w:r>
      <w:r>
        <w:rPr>
          <w:sz w:val="28"/>
        </w:rPr>
        <w:t xml:space="preserve">-ного района в сети </w:t>
      </w:r>
      <w:r>
        <w:rPr>
          <w:sz w:val="28"/>
        </w:rPr>
        <w:t>«Инте</w:t>
      </w:r>
      <w:r>
        <w:rPr>
          <w:sz w:val="28"/>
        </w:rPr>
        <w:t>р</w:t>
      </w:r>
      <w:r>
        <w:rPr>
          <w:sz w:val="28"/>
        </w:rPr>
        <w:t>нет».</w:t>
      </w:r>
    </w:p>
    <w:p w14:paraId="19000000">
      <w:pPr>
        <w:pStyle w:val="Style_7"/>
        <w:tabs>
          <w:tab w:leader="none" w:pos="480" w:val="left"/>
        </w:tabs>
        <w:spacing w:after="0" w:before="0"/>
        <w:ind w:firstLine="709" w:left="0"/>
        <w:jc w:val="both"/>
        <w:rPr>
          <w:sz w:val="28"/>
        </w:rPr>
      </w:pPr>
    </w:p>
    <w:p w14:paraId="1A000000">
      <w:pPr>
        <w:pStyle w:val="Style_7"/>
        <w:tabs>
          <w:tab w:leader="none" w:pos="480" w:val="left"/>
        </w:tabs>
        <w:spacing w:after="0" w:before="0"/>
        <w:ind w:firstLine="0" w:left="0"/>
        <w:jc w:val="both"/>
        <w:rPr>
          <w:sz w:val="28"/>
        </w:rPr>
      </w:pPr>
      <w:r>
        <w:rPr>
          <w:spacing w:val="-2"/>
          <w:sz w:val="24"/>
        </w:rPr>
        <w:t>Проект подготовил:</w:t>
      </w:r>
    </w:p>
    <w:p w14:paraId="1B000000">
      <w:pPr>
        <w:tabs>
          <w:tab w:leader="none" w:pos="5107" w:val="left"/>
          <w:tab w:leader="none" w:pos="7214" w:val="left"/>
        </w:tabs>
        <w:spacing w:line="274" w:lineRule="exact"/>
        <w:ind w:firstLine="0" w:left="0"/>
        <w:rPr>
          <w:rFonts w:ascii="XO Thames" w:hAnsi="XO Thames"/>
        </w:rPr>
      </w:pPr>
      <w:r>
        <w:rPr>
          <w:sz w:val="24"/>
        </w:rPr>
        <w:t>Главный специалист отдела</w:t>
      </w:r>
    </w:p>
    <w:p w14:paraId="1C000000">
      <w:pPr>
        <w:tabs>
          <w:tab w:leader="none" w:pos="5107" w:val="left"/>
          <w:tab w:leader="none" w:pos="7214" w:val="left"/>
        </w:tabs>
        <w:spacing w:line="274" w:lineRule="exact"/>
        <w:ind w:firstLine="0" w:left="0"/>
        <w:rPr>
          <w:rFonts w:ascii="XO Thames" w:hAnsi="XO Thames"/>
        </w:rPr>
      </w:pPr>
      <w:r>
        <w:rPr>
          <w:sz w:val="24"/>
        </w:rPr>
        <w:t>по муниципальному контролю</w:t>
      </w:r>
      <w:r>
        <w:rPr>
          <w:sz w:val="24"/>
        </w:rPr>
        <w:br/>
      </w:r>
      <w:r>
        <w:rPr>
          <w:spacing w:val="-3"/>
          <w:sz w:val="24"/>
        </w:rPr>
        <w:t>Администрации муниципального района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</w:t>
      </w:r>
      <w:r>
        <w:rPr>
          <w:rFonts w:ascii="XO Thames" w:hAnsi="XO Thames"/>
        </w:rPr>
        <w:t xml:space="preserve">      </w:t>
      </w:r>
      <w:r>
        <w:rPr>
          <w:rFonts w:ascii="XO Thames" w:hAnsi="XO Thames"/>
          <w:sz w:val="24"/>
        </w:rPr>
        <w:t>Н.Е. Ефимова</w:t>
      </w:r>
    </w:p>
    <w:p w14:paraId="1D000000">
      <w:pPr>
        <w:spacing w:before="173" w:line="274" w:lineRule="exact"/>
        <w:ind w:firstLine="0" w:left="10"/>
      </w:pPr>
      <w:r>
        <w:rPr>
          <w:spacing w:val="-3"/>
          <w:sz w:val="24"/>
        </w:rPr>
        <w:t>Согласовано:</w:t>
      </w:r>
    </w:p>
    <w:p w14:paraId="1E000000">
      <w:pPr>
        <w:spacing w:line="274" w:lineRule="exact"/>
        <w:ind w:firstLine="0" w:left="10"/>
      </w:pPr>
      <w:r>
        <w:rPr>
          <w:spacing w:val="-2"/>
          <w:sz w:val="24"/>
        </w:rPr>
        <w:t>Заместитель Главы</w:t>
      </w:r>
    </w:p>
    <w:p w14:paraId="1F000000">
      <w:pPr>
        <w:tabs>
          <w:tab w:leader="none" w:pos="7699" w:val="left"/>
        </w:tabs>
        <w:spacing w:line="274" w:lineRule="exact"/>
        <w:ind w:firstLine="0" w:left="5"/>
      </w:pPr>
      <w:r>
        <w:rPr>
          <w:spacing w:val="-3"/>
          <w:sz w:val="24"/>
        </w:rPr>
        <w:t xml:space="preserve">Администрации </w:t>
      </w:r>
      <w:r>
        <w:rPr>
          <w:spacing w:val="-3"/>
          <w:sz w:val="24"/>
        </w:rPr>
        <w:t>муниципального</w:t>
      </w:r>
      <w:r>
        <w:rPr>
          <w:spacing w:val="-3"/>
          <w:sz w:val="24"/>
        </w:rPr>
        <w:t xml:space="preserve"> район</w:t>
      </w:r>
      <w:r>
        <w:rPr>
          <w:spacing w:val="-3"/>
          <w:sz w:val="24"/>
        </w:rPr>
        <w:t xml:space="preserve">                                                             </w:t>
      </w:r>
      <w:r>
        <w:rPr>
          <w:spacing w:val="-3"/>
          <w:sz w:val="24"/>
        </w:rPr>
        <w:t>Ю.Ю. Кокорина</w:t>
      </w:r>
    </w:p>
    <w:p w14:paraId="20000000">
      <w:pPr>
        <w:spacing w:before="274" w:line="274" w:lineRule="exact"/>
        <w:ind w:firstLine="0" w:left="10"/>
        <w:rPr>
          <w:sz w:val="24"/>
        </w:rPr>
      </w:pPr>
      <w:r>
        <w:rPr>
          <w:sz w:val="24"/>
        </w:rPr>
        <w:t>Главный специалист отдела</w:t>
      </w:r>
    </w:p>
    <w:p w14:paraId="21000000">
      <w:pPr>
        <w:spacing w:line="274" w:lineRule="exact"/>
        <w:ind w:firstLine="0" w:left="14"/>
        <w:rPr>
          <w:sz w:val="24"/>
        </w:rPr>
      </w:pPr>
      <w:r>
        <w:rPr>
          <w:spacing w:val="-1"/>
          <w:sz w:val="24"/>
        </w:rPr>
        <w:t>правового регулирования</w:t>
      </w:r>
    </w:p>
    <w:p w14:paraId="22000000">
      <w:pPr>
        <w:tabs>
          <w:tab w:leader="none" w:pos="7704" w:val="left"/>
        </w:tabs>
        <w:spacing w:line="274" w:lineRule="exact"/>
        <w:ind w:firstLine="0" w:left="10"/>
        <w:rPr>
          <w:sz w:val="24"/>
        </w:rPr>
      </w:pPr>
      <w:r>
        <w:rPr>
          <w:spacing w:val="-3"/>
          <w:sz w:val="24"/>
        </w:rPr>
        <w:t xml:space="preserve">Администрации муниципального района                                                          </w:t>
      </w:r>
      <w:r>
        <w:rPr>
          <w:spacing w:val="-3"/>
          <w:sz w:val="24"/>
        </w:rPr>
        <w:t>О.А. Камаева</w:t>
      </w:r>
    </w:p>
    <w:p w14:paraId="23000000">
      <w:pPr>
        <w:spacing w:before="269"/>
        <w:ind w:firstLine="0" w:left="14"/>
      </w:pPr>
      <w:r>
        <w:rPr>
          <w:sz w:val="24"/>
        </w:rPr>
        <w:t xml:space="preserve">Разослать: дело-1, </w:t>
      </w:r>
      <w:r>
        <w:rPr>
          <w:sz w:val="24"/>
        </w:rPr>
        <w:t>ОПР</w:t>
      </w:r>
      <w:r>
        <w:rPr>
          <w:sz w:val="24"/>
        </w:rPr>
        <w:t xml:space="preserve"> - 1, отдел МК-2.</w:t>
      </w:r>
    </w:p>
    <w:p w14:paraId="24000000">
      <w:pPr>
        <w:spacing w:line="240" w:lineRule="exact"/>
        <w:ind w:firstLine="0" w:left="5670"/>
        <w:jc w:val="center"/>
        <w:rPr>
          <w:sz w:val="24"/>
        </w:rPr>
      </w:pPr>
    </w:p>
    <w:p w14:paraId="25000000">
      <w:pPr>
        <w:spacing w:line="240" w:lineRule="exact"/>
        <w:ind w:firstLine="0" w:left="5670"/>
        <w:jc w:val="center"/>
        <w:rPr>
          <w:sz w:val="24"/>
        </w:rPr>
      </w:pPr>
      <w:r>
        <w:rPr>
          <w:sz w:val="24"/>
        </w:rPr>
        <w:t>Прилож</w:t>
      </w:r>
      <w:r>
        <w:rPr>
          <w:sz w:val="24"/>
        </w:rPr>
        <w:t>е</w:t>
      </w:r>
      <w:r>
        <w:rPr>
          <w:sz w:val="24"/>
        </w:rPr>
        <w:t xml:space="preserve">ние </w:t>
      </w:r>
    </w:p>
    <w:p w14:paraId="26000000">
      <w:pPr>
        <w:spacing w:line="240" w:lineRule="exact"/>
        <w:ind w:firstLine="0" w:left="5670"/>
        <w:jc w:val="center"/>
        <w:rPr>
          <w:sz w:val="24"/>
        </w:rPr>
      </w:pPr>
      <w:r>
        <w:rPr>
          <w:sz w:val="24"/>
        </w:rPr>
        <w:t xml:space="preserve">к постановлению </w:t>
      </w:r>
      <w:r>
        <w:rPr>
          <w:sz w:val="24"/>
        </w:rPr>
        <w:t>Администрации</w:t>
      </w:r>
    </w:p>
    <w:p w14:paraId="27000000">
      <w:pPr>
        <w:spacing w:line="240" w:lineRule="exact"/>
        <w:ind w:firstLine="0" w:left="5670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14:paraId="28000000">
      <w:pPr>
        <w:spacing w:line="240" w:lineRule="exact"/>
        <w:ind w:firstLine="0" w:left="5670"/>
        <w:jc w:val="center"/>
        <w:rPr>
          <w:sz w:val="24"/>
        </w:rPr>
      </w:pPr>
      <w:r>
        <w:rPr>
          <w:sz w:val="24"/>
        </w:rPr>
        <w:t xml:space="preserve">от           </w:t>
      </w:r>
      <w:r>
        <w:rPr>
          <w:sz w:val="24"/>
        </w:rPr>
        <w:t xml:space="preserve"> № </w:t>
      </w:r>
    </w:p>
    <w:p w14:paraId="29000000">
      <w:pPr>
        <w:ind/>
        <w:jc w:val="both"/>
        <w:rPr>
          <w:sz w:val="28"/>
        </w:rPr>
      </w:pPr>
    </w:p>
    <w:p w14:paraId="2A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профилактики рисков причинения вреда (ущерба) </w:t>
      </w:r>
    </w:p>
    <w:p w14:paraId="2B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охраняемым законом ценностям в рамках осуществления </w:t>
      </w:r>
    </w:p>
    <w:p w14:paraId="2C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</w:t>
      </w:r>
    </w:p>
    <w:p w14:paraId="2D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(или) модернизации объектов теплоснабжения</w:t>
      </w:r>
      <w:r>
        <w:rPr>
          <w:rFonts w:ascii="Times New Roman" w:hAnsi="Times New Roman"/>
          <w:b w:val="1"/>
          <w:spacing w:val="2"/>
          <w:sz w:val="28"/>
        </w:rPr>
        <w:t xml:space="preserve"> в границах </w:t>
      </w:r>
    </w:p>
    <w:p w14:paraId="2E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pacing w:val="2"/>
          <w:sz w:val="28"/>
        </w:rPr>
      </w:pPr>
      <w:r>
        <w:rPr>
          <w:rFonts w:ascii="Times New Roman" w:hAnsi="Times New Roman"/>
          <w:b w:val="1"/>
          <w:spacing w:val="2"/>
          <w:sz w:val="28"/>
        </w:rPr>
        <w:t>Валдайского муниципального района на 2025 год</w:t>
      </w:r>
    </w:p>
    <w:p w14:paraId="2F000000">
      <w:pPr>
        <w:pStyle w:val="Style_6"/>
        <w:ind w:firstLine="0" w:left="0"/>
        <w:jc w:val="center"/>
        <w:rPr>
          <w:rFonts w:ascii="Times New Roman" w:hAnsi="Times New Roman"/>
          <w:sz w:val="28"/>
        </w:rPr>
      </w:pPr>
    </w:p>
    <w:p w14:paraId="30000000">
      <w:pPr>
        <w:pStyle w:val="Style_6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</w:t>
      </w:r>
    </w:p>
    <w:p w14:paraId="31000000">
      <w:pPr>
        <w:pStyle w:val="Style_6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08"/>
        <w:gridCol w:w="6900"/>
      </w:tblGrid>
      <w:tr>
        <w:trPr>
          <w:trHeight w:hRule="atLeast" w:val="775"/>
        </w:trPr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6"/>
              <w:ind w:firstLine="10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type="dxa" w:w="6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6"/>
              <w:ind w:firstLine="9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строительству,     реконструкции и (или) модернизации объектов теплоснабжения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в границах Валдайского муниципального района на 2025 год</w:t>
            </w:r>
          </w:p>
        </w:tc>
      </w:tr>
      <w:tr>
        <w:trPr>
          <w:trHeight w:hRule="atLeast" w:val="4091"/>
        </w:trPr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6"/>
              <w:ind w:firstLine="20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type="dxa" w:w="6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закон от 06 октября 2003 № 131-ФЗ «Об общих принципах организации местного самоуправления в Россий-ской Федерации», </w:t>
            </w:r>
            <w:r>
              <w:rPr>
                <w:rFonts w:ascii="Times New Roman" w:hAnsi="Times New Roman"/>
                <w:sz w:val="24"/>
              </w:rPr>
              <w:t xml:space="preserve">Федеральный закон от 31.07.2020 № 248-ФЗ «О государственном контроле (надзоре) и муниципальном контроле в Российской Федерации», постановление Прави-тельства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Думы Валдайского муниципального района от 30 сентября 2021 № 80 «Об утверждении Положения о </w:t>
            </w:r>
            <w:r>
              <w:rPr>
                <w:rFonts w:ascii="Times New Roman" w:hAnsi="Times New Roman"/>
                <w:sz w:val="24"/>
              </w:rPr>
              <w:t>муниципальном контроле за исполнением единой тепло-снабжающей организацией обязательств по строительству,     реконструкции и (или) модернизации объектов теплоснабжения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в границах Валдайского муниципального района»</w:t>
            </w:r>
          </w:p>
        </w:tc>
      </w:tr>
      <w:tr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программы профилактики</w:t>
            </w:r>
          </w:p>
        </w:tc>
        <w:tc>
          <w:tcPr>
            <w:tcW w:type="dxa" w:w="6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pStyle w:val="Style_6"/>
              <w:ind w:firstLine="9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</w:tr>
      <w:tr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6"/>
              <w:ind w:firstLine="10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 профилактики</w:t>
            </w:r>
          </w:p>
        </w:tc>
        <w:tc>
          <w:tcPr>
            <w:tcW w:type="dxa" w:w="6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9"/>
              <w:numPr>
                <w:ilvl w:val="0"/>
                <w:numId w:val="1"/>
              </w:numPr>
              <w:spacing w:line="240" w:lineRule="auto"/>
              <w:ind w:firstLine="176" w:left="0"/>
              <w:rPr>
                <w:sz w:val="24"/>
              </w:rPr>
            </w:pPr>
            <w:r>
              <w:rPr>
                <w:sz w:val="24"/>
              </w:rPr>
              <w:t>предотвращение рисков причинения вреда охраняемым законом ценностям;</w:t>
            </w:r>
          </w:p>
          <w:p w14:paraId="3A000000">
            <w:pPr>
              <w:pStyle w:val="Style_9"/>
              <w:numPr>
                <w:ilvl w:val="0"/>
                <w:numId w:val="1"/>
              </w:numPr>
              <w:spacing w:line="240" w:lineRule="auto"/>
              <w:ind w:firstLine="176" w:left="0"/>
              <w:rPr>
                <w:sz w:val="24"/>
              </w:rPr>
            </w:pPr>
            <w:r>
              <w:rPr>
                <w:sz w:val="24"/>
              </w:rPr>
              <w:t>предупреждение нарушений обязательных требований (снижение числа нарушений обязательных требований) в сфере теплоснабжения;</w:t>
            </w:r>
          </w:p>
          <w:p w14:paraId="3B000000">
            <w:pPr>
              <w:pStyle w:val="Style_9"/>
              <w:numPr>
                <w:ilvl w:val="0"/>
                <w:numId w:val="1"/>
              </w:numPr>
              <w:spacing w:line="240" w:lineRule="auto"/>
              <w:ind w:firstLine="176" w:left="0"/>
              <w:rPr>
                <w:sz w:val="24"/>
              </w:rPr>
            </w:pPr>
            <w:r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C000000">
            <w:pPr>
              <w:pStyle w:val="Style_9"/>
              <w:numPr>
                <w:ilvl w:val="0"/>
                <w:numId w:val="1"/>
              </w:numPr>
              <w:spacing w:line="240" w:lineRule="auto"/>
              <w:ind w:firstLine="176" w:left="0"/>
              <w:rPr>
                <w:sz w:val="24"/>
              </w:rPr>
            </w:pPr>
            <w:r>
              <w:rPr>
                <w:sz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3D000000">
            <w:pPr>
              <w:pStyle w:val="Style_9"/>
              <w:numPr>
                <w:ilvl w:val="0"/>
                <w:numId w:val="1"/>
              </w:numPr>
              <w:spacing w:line="240" w:lineRule="auto"/>
              <w:ind w:firstLine="176" w:left="0"/>
              <w:rPr>
                <w:sz w:val="24"/>
              </w:rPr>
            </w:pPr>
            <w:r>
              <w:rPr>
                <w:sz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6"/>
              <w:ind w:firstLine="10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 профилактики</w:t>
            </w:r>
          </w:p>
        </w:tc>
        <w:tc>
          <w:tcPr>
            <w:tcW w:type="dxa" w:w="6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10"/>
              <w:numPr>
                <w:ilvl w:val="0"/>
                <w:numId w:val="2"/>
              </w:numPr>
              <w:ind w:firstLine="313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40000000">
            <w:pPr>
              <w:pStyle w:val="Style_10"/>
              <w:numPr>
                <w:ilvl w:val="0"/>
                <w:numId w:val="2"/>
              </w:numPr>
              <w:ind w:firstLine="313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одинакового понимания обязательных требований у всех участников единой системы теплоснабжения при осуществлении </w:t>
            </w:r>
            <w:r>
              <w:rPr>
                <w:rFonts w:ascii="Times New Roman" w:hAnsi="Times New Roman"/>
              </w:rPr>
      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/>
                <w:spacing w:val="2"/>
              </w:rPr>
              <w:t xml:space="preserve"> в границах Валдайского муниципального района;</w:t>
            </w:r>
          </w:p>
          <w:p w14:paraId="41000000">
            <w:pPr>
              <w:pStyle w:val="Style_10"/>
              <w:numPr>
                <w:ilvl w:val="0"/>
                <w:numId w:val="2"/>
              </w:numPr>
              <w:ind w:firstLine="313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2000000">
            <w:pPr>
              <w:pStyle w:val="Style_10"/>
              <w:numPr>
                <w:ilvl w:val="0"/>
                <w:numId w:val="2"/>
              </w:numPr>
              <w:ind w:firstLine="313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3000000">
            <w:pPr>
              <w:pStyle w:val="Style_10"/>
              <w:numPr>
                <w:ilvl w:val="0"/>
                <w:numId w:val="2"/>
              </w:numPr>
              <w:ind w:firstLine="313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и внедрение мер системы позитивной профилактики;</w:t>
            </w:r>
          </w:p>
          <w:p w14:paraId="44000000">
            <w:pPr>
              <w:pStyle w:val="Style_10"/>
              <w:numPr>
                <w:ilvl w:val="0"/>
                <w:numId w:val="2"/>
              </w:numPr>
              <w:ind w:firstLine="313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5000000">
            <w:pPr>
              <w:pStyle w:val="Style_10"/>
              <w:numPr>
                <w:ilvl w:val="0"/>
                <w:numId w:val="2"/>
              </w:numPr>
              <w:ind w:firstLine="313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инвентаризация и оценка состава и особенностей под-контрольных субъектов и оценки состояния подконтрольной сферы;</w:t>
            </w:r>
          </w:p>
          <w:p w14:paraId="46000000">
            <w:pPr>
              <w:pStyle w:val="Style_10"/>
              <w:numPr>
                <w:ilvl w:val="0"/>
                <w:numId w:val="2"/>
              </w:numPr>
              <w:ind w:firstLine="313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7000000">
            <w:pPr>
              <w:pStyle w:val="Style_6"/>
              <w:numPr>
                <w:ilvl w:val="0"/>
                <w:numId w:val="2"/>
              </w:numPr>
              <w:ind w:firstLine="313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6"/>
              <w:ind w:firstLine="10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type="dxa" w:w="6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6"/>
              <w:numPr>
                <w:ilvl w:val="0"/>
                <w:numId w:val="3"/>
              </w:numPr>
              <w:ind w:firstLine="284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причинения вреда охраняемым законом ценностям;</w:t>
            </w:r>
          </w:p>
          <w:p w14:paraId="4A000000">
            <w:pPr>
              <w:pStyle w:val="Style_6"/>
              <w:numPr>
                <w:ilvl w:val="0"/>
                <w:numId w:val="3"/>
              </w:numPr>
              <w:ind w:firstLine="284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доли законопослушных контролируемых лиц;</w:t>
            </w:r>
          </w:p>
          <w:p w14:paraId="4B000000">
            <w:pPr>
              <w:pStyle w:val="Style_6"/>
              <w:numPr>
                <w:ilvl w:val="0"/>
                <w:numId w:val="3"/>
              </w:numPr>
              <w:ind w:firstLine="284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внедрение новых видов профилактических мероприятий, предусмотренных </w:t>
            </w:r>
            <w:r>
              <w:rPr>
                <w:rFonts w:ascii="Times New Roman" w:hAnsi="Times New Roman"/>
                <w:sz w:val="24"/>
              </w:rPr>
              <w:t xml:space="preserve">Федеральным законом от 31.07.2020 № 248-ФЗ «О государственном контроле (надзоре) и муниципальном контроле в Российской Федерации» и решением Думы Валдайского муниципального района от 30 сентября 2021 № 80 «Об утверждении Положения о </w:t>
            </w:r>
            <w:r>
              <w:rPr>
                <w:rFonts w:ascii="Times New Roman" w:hAnsi="Times New Roman"/>
                <w:sz w:val="24"/>
              </w:rPr>
              <w:t>муниципальном контроле за исполнением единой теплоснабжающей организацией обязательств по строительству,     реконструкции и (или) модер-низации объектов теплоснабжения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в границах Валдайского муниципального района»;</w:t>
            </w:r>
          </w:p>
          <w:p w14:paraId="4C000000">
            <w:pPr>
              <w:pStyle w:val="Style_6"/>
              <w:numPr>
                <w:ilvl w:val="0"/>
                <w:numId w:val="3"/>
              </w:numPr>
              <w:ind w:firstLine="284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административной нагрузки на контролируемых лиц;</w:t>
            </w:r>
          </w:p>
          <w:p w14:paraId="4D000000">
            <w:pPr>
              <w:pStyle w:val="Style_6"/>
              <w:numPr>
                <w:ilvl w:val="0"/>
                <w:numId w:val="3"/>
              </w:numPr>
              <w:ind w:firstLine="284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вня правовой грамотности контролируемых лиц;</w:t>
            </w:r>
          </w:p>
          <w:p w14:paraId="4E000000">
            <w:pPr>
              <w:pStyle w:val="Style_6"/>
              <w:numPr>
                <w:ilvl w:val="0"/>
                <w:numId w:val="3"/>
              </w:numPr>
              <w:ind w:firstLine="29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мотивация контролируемых лиц к добросовестному поведению;</w:t>
            </w:r>
          </w:p>
        </w:tc>
      </w:tr>
      <w:tr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6"/>
              <w:ind w:firstLine="10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программы профилактики</w:t>
            </w:r>
          </w:p>
        </w:tc>
        <w:tc>
          <w:tcPr>
            <w:tcW w:type="dxa" w:w="6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6"/>
              <w:ind w:firstLine="9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</w:tbl>
    <w:p w14:paraId="51000000">
      <w:pPr>
        <w:ind/>
        <w:jc w:val="both"/>
        <w:rPr>
          <w:sz w:val="28"/>
        </w:rPr>
      </w:pPr>
    </w:p>
    <w:p w14:paraId="52000000">
      <w:pPr>
        <w:pStyle w:val="Style_9"/>
        <w:spacing w:line="240" w:lineRule="exact"/>
        <w:ind w:firstLine="0" w:left="0"/>
        <w:jc w:val="center"/>
        <w:rPr>
          <w:b w:val="1"/>
        </w:rPr>
      </w:pPr>
      <w:r>
        <w:rPr>
          <w:b w:val="1"/>
        </w:rPr>
        <w:t xml:space="preserve">1. </w:t>
      </w:r>
      <w:r>
        <w:rPr>
          <w:b w:val="1"/>
        </w:rPr>
        <w:t xml:space="preserve">Анализ текущего состояния осуществления вида контроля, </w:t>
      </w:r>
    </w:p>
    <w:p w14:paraId="53000000">
      <w:pPr>
        <w:pStyle w:val="Style_9"/>
        <w:spacing w:line="240" w:lineRule="exact"/>
        <w:ind w:firstLine="0" w:left="0"/>
        <w:jc w:val="center"/>
        <w:rPr>
          <w:b w:val="1"/>
        </w:rPr>
      </w:pPr>
      <w:r>
        <w:rPr>
          <w:b w:val="1"/>
        </w:rPr>
        <w:t xml:space="preserve">описание текущего развития профилактической деятельности контрольного (надзорного) органа, характеристика проблем, </w:t>
      </w:r>
    </w:p>
    <w:p w14:paraId="54000000">
      <w:pPr>
        <w:pStyle w:val="Style_9"/>
        <w:spacing w:line="240" w:lineRule="exact"/>
        <w:ind w:firstLine="0" w:left="0"/>
        <w:jc w:val="center"/>
        <w:rPr>
          <w:b w:val="1"/>
        </w:rPr>
      </w:pPr>
      <w:r>
        <w:rPr>
          <w:b w:val="1"/>
        </w:rPr>
        <w:t>на решение которых направлена программа профилактики</w:t>
      </w:r>
    </w:p>
    <w:p w14:paraId="55000000">
      <w:pPr>
        <w:pStyle w:val="Style_9"/>
        <w:spacing w:line="240" w:lineRule="auto"/>
        <w:ind w:firstLine="709" w:left="0"/>
        <w:jc w:val="both"/>
        <w:rPr>
          <w:b w:val="1"/>
        </w:rPr>
      </w:pPr>
      <w:r>
        <w:rPr>
          <w:sz w:val="28"/>
        </w:rPr>
        <w:t>На официальном сайте Администрации Валдайского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в сети «Интернет»</w:t>
      </w:r>
      <w:r>
        <w:rPr>
          <w:sz w:val="28"/>
        </w:rPr>
        <w:t xml:space="preserve"> </w:t>
      </w:r>
      <w:r>
        <w:rPr>
          <w:rStyle w:val="Style_11_ch"/>
          <w:color w:val="000000"/>
          <w:sz w:val="28"/>
          <w:u w:val="none"/>
        </w:rPr>
        <w:fldChar w:fldCharType="begin"/>
      </w:r>
      <w:r>
        <w:rPr>
          <w:rStyle w:val="Style_11_ch"/>
          <w:color w:val="000000"/>
          <w:sz w:val="28"/>
          <w:u w:val="none"/>
        </w:rPr>
        <w:instrText>HYPERLINK "http://valdayadm.ru/"</w:instrText>
      </w:r>
      <w:r>
        <w:rPr>
          <w:rStyle w:val="Style_11_ch"/>
          <w:color w:val="000000"/>
          <w:sz w:val="28"/>
          <w:u w:val="none"/>
        </w:rPr>
        <w:fldChar w:fldCharType="separate"/>
      </w:r>
      <w:r>
        <w:rPr>
          <w:rStyle w:val="Style_11_ch"/>
          <w:color w:val="000000"/>
          <w:sz w:val="28"/>
          <w:u w:val="none"/>
        </w:rPr>
        <w:t>http://valdayadm.ru/</w:t>
      </w:r>
      <w:r>
        <w:rPr>
          <w:rStyle w:val="Style_11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размещается информация</w:t>
      </w:r>
      <w:r>
        <w:rPr>
          <w:sz w:val="28"/>
        </w:rPr>
        <w:t xml:space="preserve"> </w:t>
      </w:r>
      <w:r>
        <w:rPr>
          <w:sz w:val="28"/>
        </w:rPr>
        <w:t>по вопросам соблюдения обязательных требований за исполнением единой теплоснабжающей организацией обязательств по строительству, реконструкции и (или) модернизации объектов теплоснабжения и тексты нормативных правовых актов, регулирующих осуществление муниципального</w:t>
      </w:r>
      <w:r>
        <w:rPr>
          <w:sz w:val="28"/>
        </w:rPr>
        <w:t xml:space="preserve"> контроля.</w:t>
      </w:r>
      <w:r>
        <w:rPr>
          <w:sz w:val="28"/>
        </w:rPr>
        <w:t xml:space="preserve"> 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Объектами при осуществлении вида муниципального контроля являются:</w:t>
      </w:r>
    </w:p>
    <w:p w14:paraId="57000000">
      <w:pPr>
        <w:tabs>
          <w:tab w:leader="none" w:pos="1306" w:val="left"/>
          <w:tab w:leader="none" w:pos="3312" w:val="left"/>
          <w:tab w:leader="none" w:pos="4752" w:val="left"/>
          <w:tab w:leader="none" w:pos="6749" w:val="left"/>
          <w:tab w:leader="none" w:pos="7968" w:val="left"/>
        </w:tabs>
        <w:ind w:firstLine="709" w:left="0"/>
        <w:jc w:val="both"/>
        <w:rPr>
          <w:sz w:val="28"/>
        </w:rPr>
      </w:pPr>
      <w:r>
        <w:rPr>
          <w:spacing w:val="-2"/>
          <w:sz w:val="28"/>
        </w:rPr>
        <w:t xml:space="preserve">деятельность, действия (бездействие) единой теплоснабжающей </w:t>
      </w:r>
      <w:r>
        <w:rPr>
          <w:sz w:val="28"/>
        </w:rPr>
        <w:t>организацией, в рамках которых должны соблюдаться обязательные требования;</w:t>
      </w:r>
    </w:p>
    <w:p w14:paraId="58000000">
      <w:pPr>
        <w:tabs>
          <w:tab w:leader="none" w:pos="1099" w:val="left"/>
        </w:tabs>
        <w:ind w:firstLine="709" w:left="0"/>
        <w:jc w:val="both"/>
        <w:rPr>
          <w:sz w:val="28"/>
        </w:rPr>
      </w:pPr>
      <w:r>
        <w:rPr>
          <w:sz w:val="28"/>
        </w:rPr>
        <w:t>результаты деятельности единой теп</w:t>
      </w:r>
      <w:r>
        <w:rPr>
          <w:sz w:val="28"/>
        </w:rPr>
        <w:t xml:space="preserve">лоснабжающей организации, в том </w:t>
      </w:r>
      <w:r>
        <w:rPr>
          <w:sz w:val="28"/>
        </w:rPr>
        <w:t>числе работы и услуги, к которым предъявляются обязательные требования;</w:t>
      </w:r>
    </w:p>
    <w:p w14:paraId="59000000">
      <w:pPr>
        <w:tabs>
          <w:tab w:leader="none" w:pos="1000" w:val="left"/>
          <w:tab w:leader="none" w:pos="1238" w:val="left"/>
        </w:tabs>
        <w:ind w:firstLine="709" w:left="0"/>
        <w:jc w:val="both"/>
        <w:rPr>
          <w:sz w:val="28"/>
        </w:rPr>
      </w:pPr>
      <w:r>
        <w:rPr>
          <w:sz w:val="28"/>
        </w:rPr>
        <w:t>здания, помещения, сооружения, линейные (производственные) объекты, территории, оборудование, устройства, предметы, материалы, транспортные средства и другие объекты, которыми единая теплоснабжающая организация владеет и (или) пользуются и, к которым предъявляются</w:t>
      </w:r>
      <w:r>
        <w:rPr>
          <w:sz w:val="28"/>
        </w:rPr>
        <w:t> </w:t>
      </w:r>
      <w:r>
        <w:rPr>
          <w:sz w:val="28"/>
        </w:rPr>
        <w:t>обязательные требования.</w:t>
      </w:r>
      <w:r>
        <w:rPr>
          <w:sz w:val="28"/>
        </w:rPr>
        <w:t xml:space="preserve"> </w:t>
      </w:r>
      <w:r>
        <w:rPr>
          <w:sz w:val="28"/>
        </w:rPr>
        <w:t>Контролируемыми лицами при осуществлении муниципального контроля являются единые теплоснабжающие организации.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В 2020 - 2024 годах муниципальный контроль не осуществлялся.</w:t>
      </w:r>
    </w:p>
    <w:p w14:paraId="5C000000">
      <w:pPr>
        <w:ind w:firstLine="709" w:left="0"/>
        <w:jc w:val="both"/>
        <w:rPr>
          <w:b w:val="1"/>
          <w:sz w:val="28"/>
        </w:rPr>
      </w:pPr>
    </w:p>
    <w:p w14:paraId="5D000000">
      <w:pPr>
        <w:pStyle w:val="Style_9"/>
        <w:spacing w:line="240" w:lineRule="auto"/>
        <w:ind w:firstLine="0" w:left="660"/>
        <w:rPr>
          <w:b w:val="1"/>
        </w:rPr>
      </w:pPr>
      <w:r>
        <w:rPr>
          <w:b w:val="1"/>
        </w:rPr>
        <w:t xml:space="preserve">2. </w:t>
      </w:r>
      <w:r>
        <w:rPr>
          <w:b w:val="1"/>
        </w:rPr>
        <w:t>Цели и задачи реализации программы профилактики</w:t>
      </w:r>
    </w:p>
    <w:p w14:paraId="5E000000">
      <w:pPr>
        <w:pStyle w:val="Style_9"/>
        <w:spacing w:line="240" w:lineRule="auto"/>
        <w:ind w:firstLine="0" w:left="0"/>
        <w:jc w:val="both"/>
        <w:rPr>
          <w:b w:val="1"/>
        </w:rPr>
      </w:pPr>
    </w:p>
    <w:p w14:paraId="5F000000">
      <w:pPr>
        <w:pStyle w:val="Style_9"/>
        <w:spacing w:line="240" w:lineRule="auto"/>
        <w:ind w:firstLine="0" w:left="0"/>
        <w:jc w:val="both"/>
      </w:pPr>
      <w:r>
        <w:t xml:space="preserve">1. </w:t>
      </w:r>
      <w: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предотвращение рисков причинения вреда охраняемым законом ценностям;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предупреждение нарушений обязательных требований (снижение числа нарушений обязательных требований) в сфере теплоснабжения;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5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Основными задачами профилактических мероприятий являются:</w:t>
      </w:r>
    </w:p>
    <w:p w14:paraId="66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7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ascii="Times New Roman" w:hAnsi="Times New Roman"/>
          <w:sz w:val="28"/>
        </w:rPr>
        <w:t>муниципального контроля за исполнением единой тепло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/>
          <w:spacing w:val="2"/>
          <w:sz w:val="28"/>
        </w:rPr>
        <w:t xml:space="preserve"> в границах Валдайского муниципального района;</w:t>
      </w:r>
    </w:p>
    <w:p w14:paraId="68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9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A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и внедрение мер системы позитивной профилактики;</w:t>
      </w:r>
    </w:p>
    <w:p w14:paraId="6B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6C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6D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установление зависимости видов, форм и интенсивности профилакти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ческих мероприятий от особенностей конкретных подконтрольных субъектов;</w:t>
      </w:r>
    </w:p>
    <w:p w14:paraId="6E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6F000000">
      <w:pPr>
        <w:pStyle w:val="Style_1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70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rFonts w:ascii="Times New Roman" w:hAnsi="Times New Roman"/>
          <w:color w:val="000000"/>
          <w:sz w:val="28"/>
        </w:rPr>
        <w:t xml:space="preserve"> последствий за нарушение обязательных требований);</w:t>
      </w:r>
    </w:p>
    <w:p w14:paraId="71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2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3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74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75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6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77000000">
      <w:pPr>
        <w:ind w:firstLine="851" w:left="0"/>
        <w:jc w:val="both"/>
        <w:rPr>
          <w:sz w:val="28"/>
        </w:rPr>
      </w:pPr>
    </w:p>
    <w:p w14:paraId="78000000">
      <w:pPr>
        <w:pStyle w:val="Style_9"/>
        <w:spacing w:line="240" w:lineRule="exact"/>
        <w:ind w:firstLine="0" w:left="0"/>
        <w:jc w:val="center"/>
        <w:rPr>
          <w:b w:val="1"/>
        </w:rPr>
      </w:pPr>
      <w:r>
        <w:rPr>
          <w:b w:val="1"/>
        </w:rPr>
        <w:t xml:space="preserve">3. Перечень профилактических мероприятий, сроки </w:t>
      </w:r>
    </w:p>
    <w:p w14:paraId="79000000">
      <w:pPr>
        <w:pStyle w:val="Style_9"/>
        <w:spacing w:line="240" w:lineRule="exact"/>
        <w:ind w:firstLine="0" w:left="0"/>
        <w:jc w:val="center"/>
        <w:rPr>
          <w:b w:val="1"/>
        </w:rPr>
      </w:pPr>
      <w:r>
        <w:rPr>
          <w:b w:val="1"/>
        </w:rPr>
        <w:t>(периодичность) их проведения</w:t>
      </w:r>
    </w:p>
    <w:p w14:paraId="7A000000">
      <w:pPr>
        <w:pStyle w:val="Style_9"/>
        <w:ind w:firstLine="0" w:left="1080"/>
        <w:rPr>
          <w:b w:val="1"/>
          <w:sz w:val="20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2"/>
        <w:gridCol w:w="2411"/>
        <w:gridCol w:w="2153"/>
        <w:gridCol w:w="2698"/>
      </w:tblGrid>
      <w:tr>
        <w:trPr>
          <w:trHeight w:hRule="atLeast" w:val="1554"/>
        </w:trP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профилактичес-ких мероприятий*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Периодичность проведения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Способы проведения мероприятия</w:t>
            </w:r>
          </w:p>
        </w:tc>
      </w:tr>
      <w:t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На постоянной основе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 xml:space="preserve">Посредством размещения соответствующих сведений на официаль-ном сайте в сети «Интернет», в средствах массовой информации, через личные кабинеты контролируемых лиц в государственных информационных системах  </w:t>
            </w:r>
          </w:p>
        </w:tc>
      </w:tr>
      <w:tr>
        <w:trPr>
          <w:trHeight w:hRule="atLeast" w:val="1434"/>
        </w:trPr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rPr>
                <w:sz w:val="24"/>
              </w:rPr>
            </w:pPr>
            <w:r>
              <w:rPr>
                <w:sz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При личном обращении (по графику) в устной форме: по телефону, посредством видео-конференц-связи, на личном приеме либо в ходе проведения профилактического либо контрольного мероприятия.                     В письменной форме путем подготовки и направления ответа на запрос о предоставлении письменного ответа</w:t>
            </w:r>
          </w:p>
        </w:tc>
      </w:tr>
    </w:tbl>
    <w:p w14:paraId="87000000">
      <w:pPr>
        <w:pStyle w:val="Style_9"/>
        <w:ind w:firstLine="0" w:left="1080"/>
        <w:rPr>
          <w:b w:val="1"/>
        </w:rPr>
      </w:pPr>
    </w:p>
    <w:p w14:paraId="88000000">
      <w:pPr>
        <w:pStyle w:val="Style_9"/>
        <w:spacing w:line="240" w:lineRule="exact"/>
        <w:ind w:firstLine="0" w:left="0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4.Показатели результативности и эффективности </w:t>
      </w:r>
    </w:p>
    <w:p w14:paraId="89000000">
      <w:pPr>
        <w:pStyle w:val="Style_9"/>
        <w:spacing w:line="240" w:lineRule="exact"/>
        <w:ind w:firstLine="0" w:left="0"/>
        <w:jc w:val="center"/>
        <w:rPr>
          <w:b w:val="1"/>
          <w:color w:val="000000"/>
        </w:rPr>
      </w:pPr>
      <w:r>
        <w:rPr>
          <w:b w:val="1"/>
          <w:color w:val="000000"/>
        </w:rPr>
        <w:t>программы профилактики</w:t>
      </w:r>
    </w:p>
    <w:p w14:paraId="8A000000">
      <w:pPr>
        <w:rPr>
          <w:color w:val="000000"/>
          <w:sz w:val="28"/>
        </w:rPr>
      </w:pPr>
    </w:p>
    <w:tbl>
      <w:tblPr>
        <w:tblStyle w:val="Style_8"/>
        <w:tblInd w:type="dxa" w:w="-13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0"/>
        <w:gridCol w:w="5100"/>
        <w:gridCol w:w="1900"/>
        <w:gridCol w:w="2200"/>
      </w:tblGrid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8C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  <w:p w14:paraId="8F000000">
            <w:pPr>
              <w:widowControl w:val="0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Целевое значение 2025 год, </w:t>
            </w:r>
            <w:r>
              <w:rPr>
                <w:sz w:val="24"/>
              </w:rPr>
              <w:t>%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</w:t>
            </w:r>
            <w:r>
              <w:rPr>
                <w:sz w:val="24"/>
              </w:rPr>
              <w:t>2021 г</w:t>
            </w:r>
            <w:r>
              <w:rPr>
                <w:sz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A1000000">
      <w:pPr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442" w:gutter="0" w:header="720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36"/>
      </w:pPr>
    </w:lvl>
    <w:lvl w:ilvl="1">
      <w:start w:val="1"/>
      <w:numFmt w:val="lowerLetter"/>
      <w:lvlText w:val="%2."/>
      <w:lvlJc w:val="left"/>
      <w:pPr>
        <w:ind w:hanging="360" w:left="1256"/>
      </w:pPr>
    </w:lvl>
    <w:lvl w:ilvl="2">
      <w:start w:val="1"/>
      <w:numFmt w:val="lowerRoman"/>
      <w:lvlText w:val="%3."/>
      <w:lvlJc w:val="right"/>
      <w:pPr>
        <w:ind w:hanging="180" w:left="1976"/>
      </w:pPr>
    </w:lvl>
    <w:lvl w:ilvl="3">
      <w:start w:val="1"/>
      <w:numFmt w:val="decimal"/>
      <w:lvlText w:val="%4."/>
      <w:lvlJc w:val="left"/>
      <w:pPr>
        <w:ind w:hanging="360" w:left="2696"/>
      </w:pPr>
    </w:lvl>
    <w:lvl w:ilvl="4">
      <w:start w:val="1"/>
      <w:numFmt w:val="lowerLetter"/>
      <w:lvlText w:val="%5."/>
      <w:lvlJc w:val="left"/>
      <w:pPr>
        <w:ind w:hanging="360" w:left="3416"/>
      </w:pPr>
    </w:lvl>
    <w:lvl w:ilvl="5">
      <w:start w:val="1"/>
      <w:numFmt w:val="lowerRoman"/>
      <w:lvlText w:val="%6."/>
      <w:lvlJc w:val="right"/>
      <w:pPr>
        <w:ind w:hanging="180" w:left="4136"/>
      </w:pPr>
    </w:lvl>
    <w:lvl w:ilvl="6">
      <w:start w:val="1"/>
      <w:numFmt w:val="decimal"/>
      <w:lvlText w:val="%7."/>
      <w:lvlJc w:val="left"/>
      <w:pPr>
        <w:ind w:hanging="360" w:left="4856"/>
      </w:pPr>
    </w:lvl>
    <w:lvl w:ilvl="7">
      <w:start w:val="1"/>
      <w:numFmt w:val="lowerLetter"/>
      <w:lvlText w:val="%8."/>
      <w:lvlJc w:val="left"/>
      <w:pPr>
        <w:ind w:hanging="360" w:left="5576"/>
      </w:pPr>
    </w:lvl>
    <w:lvl w:ilvl="8">
      <w:start w:val="1"/>
      <w:numFmt w:val="lowerRoman"/>
      <w:lvlText w:val="%9."/>
      <w:lvlJc w:val="right"/>
      <w:pPr>
        <w:ind w:hanging="180" w:left="6296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536"/>
      </w:pPr>
    </w:lvl>
    <w:lvl w:ilvl="1">
      <w:start w:val="1"/>
      <w:numFmt w:val="lowerLetter"/>
      <w:lvlText w:val="%2."/>
      <w:lvlJc w:val="left"/>
      <w:pPr>
        <w:ind w:hanging="360" w:left="1256"/>
      </w:pPr>
    </w:lvl>
    <w:lvl w:ilvl="2">
      <w:start w:val="1"/>
      <w:numFmt w:val="lowerRoman"/>
      <w:lvlText w:val="%3."/>
      <w:lvlJc w:val="right"/>
      <w:pPr>
        <w:ind w:hanging="180" w:left="1976"/>
      </w:pPr>
    </w:lvl>
    <w:lvl w:ilvl="3">
      <w:start w:val="1"/>
      <w:numFmt w:val="decimal"/>
      <w:lvlText w:val="%4."/>
      <w:lvlJc w:val="left"/>
      <w:pPr>
        <w:ind w:hanging="360" w:left="2696"/>
      </w:pPr>
    </w:lvl>
    <w:lvl w:ilvl="4">
      <w:start w:val="1"/>
      <w:numFmt w:val="lowerLetter"/>
      <w:lvlText w:val="%5."/>
      <w:lvlJc w:val="left"/>
      <w:pPr>
        <w:ind w:hanging="360" w:left="3416"/>
      </w:pPr>
    </w:lvl>
    <w:lvl w:ilvl="5">
      <w:start w:val="1"/>
      <w:numFmt w:val="lowerRoman"/>
      <w:lvlText w:val="%6."/>
      <w:lvlJc w:val="right"/>
      <w:pPr>
        <w:ind w:hanging="180" w:left="4136"/>
      </w:pPr>
    </w:lvl>
    <w:lvl w:ilvl="6">
      <w:start w:val="1"/>
      <w:numFmt w:val="decimal"/>
      <w:lvlText w:val="%7."/>
      <w:lvlJc w:val="left"/>
      <w:pPr>
        <w:ind w:hanging="360" w:left="4856"/>
      </w:pPr>
    </w:lvl>
    <w:lvl w:ilvl="7">
      <w:start w:val="1"/>
      <w:numFmt w:val="lowerLetter"/>
      <w:lvlText w:val="%8."/>
      <w:lvlJc w:val="left"/>
      <w:pPr>
        <w:ind w:hanging="360" w:left="5576"/>
      </w:pPr>
    </w:lvl>
    <w:lvl w:ilvl="8">
      <w:start w:val="1"/>
      <w:numFmt w:val="lowerRoman"/>
      <w:lvlText w:val="%9."/>
      <w:lvlJc w:val="right"/>
      <w:pPr>
        <w:ind w:hanging="180" w:left="6296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252"/>
      </w:pPr>
    </w:lvl>
    <w:lvl w:ilvl="1">
      <w:start w:val="1"/>
      <w:numFmt w:val="lowerLetter"/>
      <w:lvlText w:val="%2."/>
      <w:lvlJc w:val="left"/>
      <w:pPr>
        <w:ind w:hanging="360" w:left="972"/>
      </w:pPr>
    </w:lvl>
    <w:lvl w:ilvl="2">
      <w:start w:val="1"/>
      <w:numFmt w:val="lowerRoman"/>
      <w:lvlText w:val="%3."/>
      <w:lvlJc w:val="right"/>
      <w:pPr>
        <w:ind w:hanging="180" w:left="1692"/>
      </w:pPr>
    </w:lvl>
    <w:lvl w:ilvl="3">
      <w:start w:val="1"/>
      <w:numFmt w:val="decimal"/>
      <w:lvlText w:val="%4."/>
      <w:lvlJc w:val="left"/>
      <w:pPr>
        <w:ind w:hanging="360" w:left="2412"/>
      </w:pPr>
    </w:lvl>
    <w:lvl w:ilvl="4">
      <w:start w:val="1"/>
      <w:numFmt w:val="lowerLetter"/>
      <w:lvlText w:val="%5."/>
      <w:lvlJc w:val="left"/>
      <w:pPr>
        <w:ind w:hanging="360" w:left="3132"/>
      </w:pPr>
    </w:lvl>
    <w:lvl w:ilvl="5">
      <w:start w:val="1"/>
      <w:numFmt w:val="lowerRoman"/>
      <w:lvlText w:val="%6."/>
      <w:lvlJc w:val="right"/>
      <w:pPr>
        <w:ind w:hanging="180" w:left="3852"/>
      </w:pPr>
    </w:lvl>
    <w:lvl w:ilvl="6">
      <w:start w:val="1"/>
      <w:numFmt w:val="decimal"/>
      <w:lvlText w:val="%7."/>
      <w:lvlJc w:val="left"/>
      <w:pPr>
        <w:ind w:hanging="360" w:left="4572"/>
      </w:pPr>
    </w:lvl>
    <w:lvl w:ilvl="7">
      <w:start w:val="1"/>
      <w:numFmt w:val="lowerLetter"/>
      <w:lvlText w:val="%8."/>
      <w:lvlJc w:val="left"/>
      <w:pPr>
        <w:ind w:hanging="360" w:left="5292"/>
      </w:pPr>
    </w:lvl>
    <w:lvl w:ilvl="8">
      <w:start w:val="1"/>
      <w:numFmt w:val="lowerRoman"/>
      <w:lvlText w:val="%9."/>
      <w:lvlJc w:val="right"/>
      <w:pPr>
        <w:ind w:hanging="180" w:left="601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" w:type="paragraph">
    <w:name w:val="header"/>
    <w:basedOn w:val="Style_1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2_ch"/>
    <w:link w:val="Style_1"/>
  </w:style>
  <w:style w:styleId="Style_15" w:type="paragraph">
    <w:name w:val="heading 7"/>
    <w:basedOn w:val="Style_12"/>
    <w:next w:val="Style_12"/>
    <w:link w:val="Style_15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5_ch" w:type="character">
    <w:name w:val="heading 7"/>
    <w:basedOn w:val="Style_12_ch"/>
    <w:link w:val="Style_15"/>
    <w:rPr>
      <w:rFonts w:ascii="Calibri" w:hAnsi="Calibri"/>
      <w:sz w:val="24"/>
    </w:rPr>
  </w:style>
  <w:style w:styleId="Style_16" w:type="paragraph">
    <w:name w:val="toc 6"/>
    <w:next w:val="Style_12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No Spacing"/>
    <w:link w:val="Style_17_ch"/>
    <w:rPr>
      <w:sz w:val="24"/>
    </w:rPr>
  </w:style>
  <w:style w:styleId="Style_17_ch" w:type="character">
    <w:name w:val="No Spacing"/>
    <w:link w:val="Style_17"/>
    <w:rPr>
      <w:sz w:val="24"/>
    </w:rPr>
  </w:style>
  <w:style w:styleId="Style_18" w:type="paragraph">
    <w:name w:val="toc 7"/>
    <w:next w:val="Style_1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List 2"/>
    <w:basedOn w:val="Style_12"/>
    <w:link w:val="Style_19_ch"/>
    <w:pPr>
      <w:ind w:hanging="283" w:left="566"/>
    </w:pPr>
    <w:rPr>
      <w:sz w:val="24"/>
    </w:rPr>
  </w:style>
  <w:style w:styleId="Style_19_ch" w:type="character">
    <w:name w:val="List 2"/>
    <w:basedOn w:val="Style_12_ch"/>
    <w:link w:val="Style_19"/>
    <w:rPr>
      <w:sz w:val="24"/>
    </w:rPr>
  </w:style>
  <w:style w:styleId="Style_4" w:type="paragraph">
    <w:name w:val="heading 3"/>
    <w:basedOn w:val="Style_12"/>
    <w:next w:val="Style_12"/>
    <w:link w:val="Style_4_ch"/>
    <w:uiPriority w:val="9"/>
    <w:qFormat/>
    <w:pPr>
      <w:keepNext w:val="1"/>
      <w:ind/>
      <w:jc w:val="center"/>
      <w:outlineLvl w:val="2"/>
    </w:pPr>
    <w:rPr>
      <w:color w:val="000000"/>
      <w:sz w:val="32"/>
    </w:rPr>
  </w:style>
  <w:style w:styleId="Style_4_ch" w:type="character">
    <w:name w:val="heading 3"/>
    <w:basedOn w:val="Style_12_ch"/>
    <w:link w:val="Style_4"/>
    <w:rPr>
      <w:color w:val="000000"/>
      <w:sz w:val="3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Центр"/>
    <w:basedOn w:val="Style_12"/>
    <w:link w:val="Style_21_ch"/>
    <w:pPr>
      <w:ind/>
      <w:jc w:val="center"/>
    </w:pPr>
    <w:rPr>
      <w:sz w:val="28"/>
    </w:rPr>
  </w:style>
  <w:style w:styleId="Style_21_ch" w:type="character">
    <w:name w:val="Центр"/>
    <w:basedOn w:val="Style_12_ch"/>
    <w:link w:val="Style_21"/>
    <w:rPr>
      <w:sz w:val="28"/>
    </w:rPr>
  </w:style>
  <w:style w:styleId="Style_9" w:type="paragraph">
    <w:name w:val="List Paragraph"/>
    <w:basedOn w:val="Style_12"/>
    <w:link w:val="Style_9_ch"/>
    <w:pPr>
      <w:spacing w:line="276" w:lineRule="auto"/>
      <w:ind w:firstLine="709" w:left="720"/>
      <w:contextualSpacing w:val="1"/>
    </w:pPr>
    <w:rPr>
      <w:sz w:val="28"/>
    </w:rPr>
  </w:style>
  <w:style w:styleId="Style_9_ch" w:type="character">
    <w:name w:val="List Paragraph"/>
    <w:basedOn w:val="Style_12_ch"/>
    <w:link w:val="Style_9"/>
    <w:rPr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2" w:type="paragraph">
    <w:name w:val="Document Map"/>
    <w:basedOn w:val="Style_12"/>
    <w:link w:val="Style_22_ch"/>
    <w:rPr>
      <w:rFonts w:ascii="Tahoma" w:hAnsi="Tahoma"/>
    </w:rPr>
  </w:style>
  <w:style w:styleId="Style_22_ch" w:type="character">
    <w:name w:val="Document Map"/>
    <w:basedOn w:val="Style_12_ch"/>
    <w:link w:val="Style_22"/>
    <w:rPr>
      <w:rFonts w:ascii="Tahoma" w:hAnsi="Tahoma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footer"/>
    <w:basedOn w:val="Style_1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12_ch"/>
    <w:link w:val="Style_24"/>
  </w:style>
  <w:style w:styleId="Style_25" w:type="paragraph">
    <w:name w:val="Body Text First Indent"/>
    <w:basedOn w:val="Style_5"/>
    <w:link w:val="Style_25_ch"/>
    <w:pPr>
      <w:spacing w:after="120"/>
      <w:ind w:firstLine="210" w:left="0"/>
      <w:jc w:val="left"/>
    </w:pPr>
    <w:rPr>
      <w:color w:val="000000"/>
      <w:sz w:val="24"/>
    </w:rPr>
  </w:style>
  <w:style w:styleId="Style_25_ch" w:type="character">
    <w:name w:val="Body Text First Indent"/>
    <w:basedOn w:val="Style_5_ch"/>
    <w:link w:val="Style_25"/>
    <w:rPr>
      <w:color w:val="000000"/>
      <w:sz w:val="24"/>
    </w:rPr>
  </w:style>
  <w:style w:styleId="Style_26" w:type="paragraph">
    <w:name w:val="List"/>
    <w:basedOn w:val="Style_12"/>
    <w:link w:val="Style_26_ch"/>
    <w:pPr>
      <w:ind w:hanging="283" w:left="283"/>
    </w:pPr>
    <w:rPr>
      <w:sz w:val="24"/>
    </w:rPr>
  </w:style>
  <w:style w:styleId="Style_26_ch" w:type="character">
    <w:name w:val="List"/>
    <w:basedOn w:val="Style_12_ch"/>
    <w:link w:val="Style_26"/>
    <w:rPr>
      <w:sz w:val="24"/>
    </w:rPr>
  </w:style>
  <w:style w:styleId="Style_27" w:type="paragraph">
    <w:name w:val="Con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Normal"/>
    <w:link w:val="Style_27"/>
    <w:rPr>
      <w:rFonts w:ascii="Arial" w:hAnsi="Arial"/>
    </w:rPr>
  </w:style>
  <w:style w:styleId="Style_28" w:type="paragraph">
    <w:name w:val="ConsPlusTitle"/>
    <w:link w:val="Style_28_ch"/>
    <w:pPr>
      <w:widowControl w:val="0"/>
      <w:ind/>
    </w:pPr>
    <w:rPr>
      <w:b w:val="1"/>
      <w:sz w:val="24"/>
    </w:rPr>
  </w:style>
  <w:style w:styleId="Style_28_ch" w:type="character">
    <w:name w:val="ConsPlusTitle"/>
    <w:link w:val="Style_28"/>
    <w:rPr>
      <w:b w:val="1"/>
      <w:sz w:val="24"/>
    </w:rPr>
  </w:style>
  <w:style w:styleId="Style_29" w:type="paragraph">
    <w:name w:val="List Paragraph"/>
    <w:basedOn w:val="Style_12"/>
    <w:link w:val="Style_29_ch"/>
    <w:pPr>
      <w:ind w:firstLine="0" w:left="720"/>
      <w:contextualSpacing w:val="1"/>
    </w:pPr>
  </w:style>
  <w:style w:styleId="Style_29_ch" w:type="character">
    <w:name w:val="List Paragraph"/>
    <w:basedOn w:val="Style_12_ch"/>
    <w:link w:val="Style_29"/>
  </w:style>
  <w:style w:styleId="Style_30" w:type="paragraph">
    <w:name w:val="page number"/>
    <w:basedOn w:val="Style_20"/>
    <w:link w:val="Style_30_ch"/>
  </w:style>
  <w:style w:styleId="Style_30_ch" w:type="character">
    <w:name w:val="page number"/>
    <w:basedOn w:val="Style_20_ch"/>
    <w:link w:val="Style_30"/>
  </w:style>
  <w:style w:styleId="Style_7" w:type="paragraph">
    <w:name w:val="Normal (Web)"/>
    <w:basedOn w:val="Style_12"/>
    <w:link w:val="Style_7_ch"/>
    <w:pPr>
      <w:spacing w:after="100" w:before="100"/>
      <w:ind/>
    </w:pPr>
    <w:rPr>
      <w:sz w:val="24"/>
    </w:rPr>
  </w:style>
  <w:style w:styleId="Style_7_ch" w:type="character">
    <w:name w:val="Normal (Web)"/>
    <w:basedOn w:val="Style_12_ch"/>
    <w:link w:val="Style_7"/>
    <w:rPr>
      <w:sz w:val="24"/>
    </w:rPr>
  </w:style>
  <w:style w:styleId="Style_31" w:type="paragraph">
    <w:name w:val="toc 3"/>
    <w:next w:val="Style_12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Balloon Text"/>
    <w:basedOn w:val="Style_12"/>
    <w:link w:val="Style_32_ch"/>
    <w:rPr>
      <w:rFonts w:ascii="Tahoma" w:hAnsi="Tahoma"/>
      <w:sz w:val="16"/>
    </w:rPr>
  </w:style>
  <w:style w:styleId="Style_32_ch" w:type="character">
    <w:name w:val="Balloon Text"/>
    <w:basedOn w:val="Style_12_ch"/>
    <w:link w:val="Style_32"/>
    <w:rPr>
      <w:rFonts w:ascii="Tahoma" w:hAnsi="Tahoma"/>
      <w:sz w:val="16"/>
    </w:rPr>
  </w:style>
  <w:style w:styleId="Style_33" w:type="paragraph">
    <w:name w:val="Основной текст с отступом 21"/>
    <w:basedOn w:val="Style_12"/>
    <w:link w:val="Style_33_ch"/>
    <w:pPr>
      <w:ind w:firstLine="284" w:left="0"/>
      <w:jc w:val="center"/>
    </w:pPr>
    <w:rPr>
      <w:b w:val="1"/>
      <w:sz w:val="40"/>
    </w:rPr>
  </w:style>
  <w:style w:styleId="Style_33_ch" w:type="character">
    <w:name w:val="Основной текст с отступом 21"/>
    <w:basedOn w:val="Style_12_ch"/>
    <w:link w:val="Style_33"/>
    <w:rPr>
      <w:b w:val="1"/>
      <w:sz w:val="40"/>
    </w:rPr>
  </w:style>
  <w:style w:styleId="Style_34" w:type="paragraph">
    <w:name w:val="Strong"/>
    <w:basedOn w:val="Style_20"/>
    <w:link w:val="Style_34_ch"/>
    <w:rPr>
      <w:b w:val="1"/>
    </w:rPr>
  </w:style>
  <w:style w:styleId="Style_34_ch" w:type="character">
    <w:name w:val="Strong"/>
    <w:basedOn w:val="Style_20_ch"/>
    <w:link w:val="Style_34"/>
    <w:rPr>
      <w:b w:val="1"/>
    </w:rPr>
  </w:style>
  <w:style w:styleId="Style_5" w:type="paragraph">
    <w:name w:val="Body Text"/>
    <w:basedOn w:val="Style_12"/>
    <w:link w:val="Style_5_ch"/>
    <w:pPr>
      <w:ind/>
      <w:jc w:val="both"/>
    </w:pPr>
    <w:rPr>
      <w:color w:val="000000"/>
      <w:sz w:val="28"/>
    </w:rPr>
  </w:style>
  <w:style w:styleId="Style_5_ch" w:type="character">
    <w:name w:val="Body Text"/>
    <w:basedOn w:val="Style_12_ch"/>
    <w:link w:val="Style_5"/>
    <w:rPr>
      <w:color w:val="000000"/>
      <w:sz w:val="28"/>
    </w:rPr>
  </w:style>
  <w:style w:styleId="Style_35" w:type="paragraph">
    <w:name w:val="heading 5"/>
    <w:basedOn w:val="Style_12"/>
    <w:next w:val="Style_12"/>
    <w:link w:val="Style_35_ch"/>
    <w:uiPriority w:val="9"/>
    <w:qFormat/>
    <w:pPr>
      <w:keepNext w:val="1"/>
      <w:ind/>
      <w:jc w:val="both"/>
      <w:outlineLvl w:val="4"/>
    </w:pPr>
    <w:rPr>
      <w:b w:val="1"/>
      <w:color w:val="000000"/>
      <w:sz w:val="28"/>
    </w:rPr>
  </w:style>
  <w:style w:styleId="Style_35_ch" w:type="character">
    <w:name w:val="heading 5"/>
    <w:basedOn w:val="Style_12_ch"/>
    <w:link w:val="Style_35"/>
    <w:rPr>
      <w:b w:val="1"/>
      <w:color w:val="000000"/>
      <w:sz w:val="28"/>
    </w:rPr>
  </w:style>
  <w:style w:styleId="Style_36" w:type="paragraph">
    <w:name w:val="Знак"/>
    <w:basedOn w:val="Style_12"/>
    <w:link w:val="Style_36_ch"/>
    <w:pPr>
      <w:spacing w:afterAutospacing="on" w:beforeAutospacing="on"/>
      <w:ind/>
    </w:pPr>
    <w:rPr>
      <w:rFonts w:ascii="Tahoma" w:hAnsi="Tahoma"/>
    </w:rPr>
  </w:style>
  <w:style w:styleId="Style_36_ch" w:type="character">
    <w:name w:val="Знак"/>
    <w:basedOn w:val="Style_12_ch"/>
    <w:link w:val="Style_36"/>
    <w:rPr>
      <w:rFonts w:ascii="Tahoma" w:hAnsi="Tahoma"/>
    </w:rPr>
  </w:style>
  <w:style w:styleId="Style_2" w:type="paragraph">
    <w:name w:val="heading 1"/>
    <w:basedOn w:val="Style_12"/>
    <w:next w:val="Style_12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12_ch"/>
    <w:link w:val="Style_2"/>
    <w:rPr>
      <w:sz w:val="28"/>
    </w:rPr>
  </w:style>
  <w:style w:styleId="Style_37" w:type="paragraph">
    <w:name w:val="Îáû÷íûé"/>
    <w:link w:val="Style_37_ch"/>
    <w:pPr>
      <w:widowControl w:val="0"/>
      <w:ind/>
    </w:pPr>
  </w:style>
  <w:style w:styleId="Style_37_ch" w:type="character">
    <w:name w:val="Îáû÷íûé"/>
    <w:link w:val="Style_37"/>
  </w:style>
  <w:style w:styleId="Style_11" w:type="paragraph">
    <w:name w:val="Hyperlink"/>
    <w:basedOn w:val="Style_20"/>
    <w:link w:val="Style_11_ch"/>
    <w:rPr>
      <w:color w:val="0000FF"/>
      <w:u w:val="single"/>
    </w:rPr>
  </w:style>
  <w:style w:styleId="Style_11_ch" w:type="character">
    <w:name w:val="Hyperlink"/>
    <w:basedOn w:val="Style_20_ch"/>
    <w:link w:val="Style_11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12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TML Preformatted"/>
    <w:basedOn w:val="Style_12"/>
    <w:link w:val="Style_4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40_ch" w:type="character">
    <w:name w:val="HTML Preformatted"/>
    <w:basedOn w:val="Style_12_ch"/>
    <w:link w:val="Style_40"/>
    <w:rPr>
      <w:rFonts w:ascii="Courier New" w:hAnsi="Courier New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10" w:type="paragraph">
    <w:name w:val="Default"/>
    <w:link w:val="Style_10_ch"/>
    <w:rPr>
      <w:rFonts w:ascii="Arial" w:hAnsi="Arial"/>
      <w:color w:val="000000"/>
      <w:sz w:val="24"/>
    </w:rPr>
  </w:style>
  <w:style w:styleId="Style_10_ch" w:type="character">
    <w:name w:val="Default"/>
    <w:link w:val="Style_10"/>
    <w:rPr>
      <w:rFonts w:ascii="Arial" w:hAnsi="Arial"/>
      <w:color w:val="000000"/>
      <w:sz w:val="24"/>
    </w:rPr>
  </w:style>
  <w:style w:styleId="Style_42" w:type="paragraph">
    <w:name w:val="toc 9"/>
    <w:next w:val="Style_12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toc 8"/>
    <w:next w:val="Style_12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Body Text Indent"/>
    <w:basedOn w:val="Style_12"/>
    <w:link w:val="Style_44_ch"/>
    <w:pPr>
      <w:ind w:firstLine="720" w:left="0"/>
    </w:pPr>
    <w:rPr>
      <w:rFonts w:ascii="Bookman Old Style" w:hAnsi="Bookman Old Style"/>
      <w:sz w:val="24"/>
    </w:rPr>
  </w:style>
  <w:style w:styleId="Style_44_ch" w:type="character">
    <w:name w:val="Body Text Indent"/>
    <w:basedOn w:val="Style_12_ch"/>
    <w:link w:val="Style_44"/>
    <w:rPr>
      <w:rFonts w:ascii="Bookman Old Style" w:hAnsi="Bookman Old Style"/>
      <w:sz w:val="24"/>
    </w:rPr>
  </w:style>
  <w:style w:styleId="Style_45" w:type="paragraph">
    <w:name w:val="Body Text Indent 3"/>
    <w:basedOn w:val="Style_12"/>
    <w:link w:val="Style_45_ch"/>
    <w:pPr>
      <w:spacing w:after="120"/>
      <w:ind w:firstLine="0" w:left="283"/>
    </w:pPr>
    <w:rPr>
      <w:sz w:val="16"/>
    </w:rPr>
  </w:style>
  <w:style w:styleId="Style_45_ch" w:type="character">
    <w:name w:val="Body Text Indent 3"/>
    <w:basedOn w:val="Style_12_ch"/>
    <w:link w:val="Style_45"/>
    <w:rPr>
      <w:sz w:val="16"/>
    </w:rPr>
  </w:style>
  <w:style w:styleId="Style_46" w:type="paragraph">
    <w:name w:val="ConsPlusCell"/>
    <w:link w:val="Style_46_ch"/>
    <w:pPr>
      <w:widowControl w:val="0"/>
      <w:ind/>
    </w:pPr>
    <w:rPr>
      <w:sz w:val="24"/>
    </w:rPr>
  </w:style>
  <w:style w:styleId="Style_46_ch" w:type="character">
    <w:name w:val="ConsPlusCell"/>
    <w:link w:val="Style_46"/>
    <w:rPr>
      <w:sz w:val="24"/>
    </w:rPr>
  </w:style>
  <w:style w:styleId="Style_47" w:type="paragraph">
    <w:name w:val="toc 5"/>
    <w:next w:val="Style_12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Body Text First Indent 2"/>
    <w:basedOn w:val="Style_44"/>
    <w:link w:val="Style_48_ch"/>
    <w:pPr>
      <w:spacing w:after="120"/>
      <w:ind w:firstLine="210" w:left="283"/>
    </w:pPr>
    <w:rPr>
      <w:rFonts w:ascii="Times New Roman" w:hAnsi="Times New Roman"/>
    </w:rPr>
  </w:style>
  <w:style w:styleId="Style_48_ch" w:type="character">
    <w:name w:val="Body Text First Indent 2"/>
    <w:basedOn w:val="Style_44_ch"/>
    <w:link w:val="Style_48"/>
    <w:rPr>
      <w:rFonts w:ascii="Times New Roman" w:hAnsi="Times New Roman"/>
    </w:rPr>
  </w:style>
  <w:style w:styleId="Style_49" w:type="paragraph">
    <w:name w:val="Body Text 3"/>
    <w:basedOn w:val="Style_12"/>
    <w:link w:val="Style_49_ch"/>
    <w:pPr>
      <w:spacing w:after="120"/>
      <w:ind/>
    </w:pPr>
    <w:rPr>
      <w:sz w:val="16"/>
    </w:rPr>
  </w:style>
  <w:style w:styleId="Style_49_ch" w:type="character">
    <w:name w:val="Body Text 3"/>
    <w:basedOn w:val="Style_12_ch"/>
    <w:link w:val="Style_49"/>
    <w:rPr>
      <w:sz w:val="16"/>
    </w:rPr>
  </w:style>
  <w:style w:styleId="Style_50" w:type="paragraph">
    <w:name w:val="Содержимое таблицы"/>
    <w:basedOn w:val="Style_12"/>
    <w:link w:val="Style_50_ch"/>
  </w:style>
  <w:style w:styleId="Style_50_ch" w:type="character">
    <w:name w:val="Содержимое таблицы"/>
    <w:basedOn w:val="Style_12_ch"/>
    <w:link w:val="Style_50"/>
  </w:style>
  <w:style w:styleId="Style_51" w:type="paragraph">
    <w:name w:val="Body Text 2"/>
    <w:basedOn w:val="Style_12"/>
    <w:link w:val="Style_51_ch"/>
    <w:pPr>
      <w:ind/>
      <w:jc w:val="both"/>
    </w:pPr>
    <w:rPr>
      <w:rFonts w:ascii="Bookman Old Style" w:hAnsi="Bookman Old Style"/>
      <w:sz w:val="24"/>
    </w:rPr>
  </w:style>
  <w:style w:styleId="Style_51_ch" w:type="character">
    <w:name w:val="Body Text 2"/>
    <w:basedOn w:val="Style_12_ch"/>
    <w:link w:val="Style_51"/>
    <w:rPr>
      <w:rFonts w:ascii="Bookman Old Style" w:hAnsi="Bookman Old Style"/>
      <w:sz w:val="24"/>
    </w:rPr>
  </w:style>
  <w:style w:styleId="Style_52" w:type="paragraph">
    <w:name w:val="Subtitle"/>
    <w:next w:val="Style_12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s_16"/>
    <w:basedOn w:val="Style_12"/>
    <w:link w:val="Style_53_ch"/>
    <w:pPr>
      <w:spacing w:afterAutospacing="on" w:beforeAutospacing="on"/>
      <w:ind/>
    </w:pPr>
    <w:rPr>
      <w:sz w:val="24"/>
    </w:rPr>
  </w:style>
  <w:style w:styleId="Style_53_ch" w:type="character">
    <w:name w:val="s_16"/>
    <w:basedOn w:val="Style_12_ch"/>
    <w:link w:val="Style_53"/>
    <w:rPr>
      <w:sz w:val="24"/>
    </w:rPr>
  </w:style>
  <w:style w:styleId="Style_54" w:type="paragraph">
    <w:name w:val="Title"/>
    <w:basedOn w:val="Style_12"/>
    <w:link w:val="Style_54_ch"/>
    <w:uiPriority w:val="10"/>
    <w:qFormat/>
    <w:pPr>
      <w:ind w:firstLine="0" w:left="-567"/>
      <w:jc w:val="center"/>
    </w:pPr>
    <w:rPr>
      <w:sz w:val="28"/>
    </w:rPr>
  </w:style>
  <w:style w:styleId="Style_54_ch" w:type="character">
    <w:name w:val="Title"/>
    <w:basedOn w:val="Style_12_ch"/>
    <w:link w:val="Style_54"/>
    <w:rPr>
      <w:sz w:val="28"/>
    </w:rPr>
  </w:style>
  <w:style w:styleId="Style_55" w:type="paragraph">
    <w:name w:val="heading 4"/>
    <w:basedOn w:val="Style_12"/>
    <w:next w:val="Style_12"/>
    <w:link w:val="Style_55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55_ch" w:type="character">
    <w:name w:val="heading 4"/>
    <w:basedOn w:val="Style_12_ch"/>
    <w:link w:val="Style_55"/>
    <w:rPr>
      <w:b w:val="1"/>
      <w:sz w:val="28"/>
    </w:rPr>
  </w:style>
  <w:style w:styleId="Style_56" w:type="paragraph">
    <w:name w:val="Основной текст + 8.5 pt"/>
    <w:link w:val="Style_56_ch"/>
    <w:rPr>
      <w:rFonts w:ascii="Times New Roman" w:hAnsi="Times New Roman"/>
      <w:b w:val="1"/>
      <w:sz w:val="17"/>
      <w:u w:val="none"/>
    </w:rPr>
  </w:style>
  <w:style w:styleId="Style_56_ch" w:type="character">
    <w:name w:val="Основной текст + 8.5 pt"/>
    <w:link w:val="Style_56"/>
    <w:rPr>
      <w:rFonts w:ascii="Times New Roman" w:hAnsi="Times New Roman"/>
      <w:b w:val="1"/>
      <w:sz w:val="17"/>
      <w:u w:val="none"/>
    </w:rPr>
  </w:style>
  <w:style w:styleId="Style_3" w:type="paragraph">
    <w:name w:val="heading 2"/>
    <w:basedOn w:val="Style_12"/>
    <w:next w:val="Style_12"/>
    <w:link w:val="Style_3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3_ch" w:type="character">
    <w:name w:val="heading 2"/>
    <w:basedOn w:val="Style_12_ch"/>
    <w:link w:val="Style_3"/>
    <w:rPr>
      <w:b w:val="1"/>
      <w:sz w:val="44"/>
    </w:rPr>
  </w:style>
  <w:style w:styleId="Style_57" w:type="paragraph">
    <w:name w:val="heading 6"/>
    <w:basedOn w:val="Style_12"/>
    <w:next w:val="Style_12"/>
    <w:link w:val="Style_57_ch"/>
    <w:uiPriority w:val="9"/>
    <w:qFormat/>
    <w:pPr>
      <w:keepNext w:val="1"/>
      <w:spacing w:line="240" w:lineRule="exact"/>
      <w:ind/>
      <w:outlineLvl w:val="5"/>
    </w:pPr>
    <w:rPr>
      <w:b w:val="1"/>
      <w:color w:val="000000"/>
      <w:sz w:val="28"/>
    </w:rPr>
  </w:style>
  <w:style w:styleId="Style_57_ch" w:type="character">
    <w:name w:val="heading 6"/>
    <w:basedOn w:val="Style_12_ch"/>
    <w:link w:val="Style_57"/>
    <w:rPr>
      <w:b w:val="1"/>
      <w:color w:val="000000"/>
      <w:sz w:val="28"/>
    </w:rPr>
  </w:style>
  <w:style w:styleId="Style_58" w:type="table">
    <w:name w:val="Table Grid"/>
    <w:basedOn w:val="Style_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2024-09-20T11:39:44Z</dcterms:modified>
</cp:coreProperties>
</file>