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23" w:rsidRDefault="00C340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34023" w:rsidRDefault="00C34023" w:rsidP="00BB137E">
      <w:pPr>
        <w:pStyle w:val="Heading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34023" w:rsidRPr="00BB137E" w:rsidRDefault="00C34023" w:rsidP="00BB137E">
      <w:pPr>
        <w:spacing w:line="80" w:lineRule="exact"/>
      </w:pPr>
    </w:p>
    <w:p w:rsidR="00C34023" w:rsidRDefault="00C34023">
      <w:pPr>
        <w:pStyle w:val="Heading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34023" w:rsidRPr="00C705CD" w:rsidRDefault="00C34023" w:rsidP="00C705CD">
      <w:pPr>
        <w:spacing w:line="80" w:lineRule="exact"/>
        <w:rPr>
          <w:sz w:val="12"/>
          <w:szCs w:val="12"/>
        </w:rPr>
      </w:pPr>
    </w:p>
    <w:p w:rsidR="00C34023" w:rsidRDefault="00C34023">
      <w:pPr>
        <w:pStyle w:val="Heading3"/>
      </w:pPr>
      <w:r>
        <w:t>П О С Т А Н О В Л Е Н И Е</w:t>
      </w:r>
    </w:p>
    <w:p w:rsidR="00C34023" w:rsidRPr="002045B3" w:rsidRDefault="00C34023">
      <w:pPr>
        <w:jc w:val="center"/>
        <w:rPr>
          <w:rFonts w:ascii="Courier New" w:hAnsi="Courier New"/>
          <w:color w:val="000000"/>
          <w:sz w:val="28"/>
        </w:rPr>
      </w:pPr>
    </w:p>
    <w:p w:rsidR="00C34023" w:rsidRDefault="00C3402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01.11.2016  № 1739 </w:t>
      </w:r>
    </w:p>
    <w:p w:rsidR="00C34023" w:rsidRDefault="00C3402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C34023" w:rsidRDefault="00C34023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34023" w:rsidRDefault="00C34023" w:rsidP="009522F3">
      <w:pPr>
        <w:spacing w:line="240" w:lineRule="exact"/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kern w:val="24"/>
          <w:sz w:val="28"/>
          <w:szCs w:val="28"/>
        </w:rPr>
        <w:t xml:space="preserve">муниципальной программы Валдайского </w:t>
      </w:r>
    </w:p>
    <w:p w:rsidR="00C34023" w:rsidRDefault="00C34023" w:rsidP="009522F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«Комплексные меры по обеспечению законности </w:t>
      </w:r>
    </w:p>
    <w:p w:rsidR="00C34023" w:rsidRDefault="00C34023" w:rsidP="009522F3">
      <w:pPr>
        <w:spacing w:line="240" w:lineRule="exact"/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и противодействию правонарушениям</w:t>
      </w:r>
      <w:r>
        <w:rPr>
          <w:b/>
          <w:kern w:val="24"/>
          <w:sz w:val="28"/>
          <w:szCs w:val="28"/>
        </w:rPr>
        <w:t xml:space="preserve"> на 2017-2019 годы»</w:t>
      </w:r>
    </w:p>
    <w:p w:rsidR="00C34023" w:rsidRDefault="00C34023" w:rsidP="007C722C">
      <w:pPr>
        <w:jc w:val="center"/>
        <w:rPr>
          <w:b/>
          <w:sz w:val="24"/>
          <w:szCs w:val="24"/>
        </w:rPr>
      </w:pPr>
    </w:p>
    <w:p w:rsidR="00C34023" w:rsidRDefault="00C34023" w:rsidP="007C72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изменениями: </w:t>
      </w:r>
    </w:p>
    <w:p w:rsidR="00C34023" w:rsidRDefault="00C34023" w:rsidP="007C72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28.12.2016  № 2144;</w:t>
      </w:r>
    </w:p>
    <w:p w:rsidR="00C34023" w:rsidRDefault="00C34023" w:rsidP="007C72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27.02.2017  № 248;</w:t>
      </w:r>
    </w:p>
    <w:p w:rsidR="00C34023" w:rsidRDefault="00C34023" w:rsidP="007C72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04.09.2017  № 1730;</w:t>
      </w:r>
    </w:p>
    <w:p w:rsidR="00C34023" w:rsidRDefault="00C34023" w:rsidP="007C72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05.12.2017  № 2509;</w:t>
      </w:r>
    </w:p>
    <w:p w:rsidR="00C34023" w:rsidRDefault="00C34023" w:rsidP="007C72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12.12.2017  № 2575;</w:t>
      </w:r>
    </w:p>
    <w:p w:rsidR="00C34023" w:rsidRDefault="00C34023" w:rsidP="007C72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04.07.2018  № 986</w:t>
      </w:r>
    </w:p>
    <w:p w:rsidR="00C34023" w:rsidRDefault="00C34023" w:rsidP="007C72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28.09.2018  № 1524;</w:t>
      </w:r>
    </w:p>
    <w:p w:rsidR="00C34023" w:rsidRDefault="00C34023" w:rsidP="007C72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30.11.2018  № 1897;</w:t>
      </w:r>
    </w:p>
    <w:p w:rsidR="00C34023" w:rsidRDefault="00C34023" w:rsidP="005639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30.11.2018  № 1898.</w:t>
      </w:r>
    </w:p>
    <w:p w:rsidR="00C34023" w:rsidRDefault="00C34023" w:rsidP="009522F3">
      <w:pPr>
        <w:ind w:right="6295"/>
        <w:jc w:val="both"/>
        <w:rPr>
          <w:sz w:val="28"/>
          <w:szCs w:val="28"/>
        </w:rPr>
      </w:pPr>
    </w:p>
    <w:p w:rsidR="00C34023" w:rsidRDefault="00C34023" w:rsidP="009522F3">
      <w:pPr>
        <w:ind w:right="6295"/>
        <w:jc w:val="both"/>
        <w:rPr>
          <w:sz w:val="28"/>
          <w:szCs w:val="28"/>
        </w:rPr>
      </w:pPr>
    </w:p>
    <w:p w:rsidR="00C34023" w:rsidRDefault="00C34023" w:rsidP="009522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C34023" w:rsidRDefault="00C34023" w:rsidP="00952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Валдайского района «Комплексные меры по обеспечению законности и противодействию правонарушениям</w:t>
      </w:r>
      <w:r>
        <w:rPr>
          <w:kern w:val="24"/>
          <w:sz w:val="28"/>
          <w:szCs w:val="28"/>
        </w:rPr>
        <w:t xml:space="preserve"> на 2017-2019 годы»</w:t>
      </w:r>
      <w:r>
        <w:rPr>
          <w:sz w:val="28"/>
          <w:szCs w:val="28"/>
        </w:rPr>
        <w:t>.</w:t>
      </w:r>
    </w:p>
    <w:p w:rsidR="00C34023" w:rsidRDefault="00C34023" w:rsidP="00952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1 января 2017 года.</w:t>
      </w:r>
    </w:p>
    <w:p w:rsidR="00C34023" w:rsidRPr="009522F3" w:rsidRDefault="00C34023" w:rsidP="00952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C34023" w:rsidRDefault="00C34023" w:rsidP="006F7488">
      <w:pPr>
        <w:spacing w:line="200" w:lineRule="atLeast"/>
        <w:rPr>
          <w:sz w:val="28"/>
          <w:szCs w:val="28"/>
        </w:rPr>
      </w:pPr>
    </w:p>
    <w:p w:rsidR="00C34023" w:rsidRDefault="00C34023" w:rsidP="006F7488">
      <w:pPr>
        <w:spacing w:line="200" w:lineRule="atLeast"/>
        <w:rPr>
          <w:sz w:val="28"/>
          <w:szCs w:val="28"/>
        </w:rPr>
      </w:pPr>
    </w:p>
    <w:p w:rsidR="00C34023" w:rsidRDefault="00C34023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C34023" w:rsidRDefault="00C34023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C34023" w:rsidRPr="00055D2C" w:rsidRDefault="00C34023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О.Я. Рудина</w:t>
      </w:r>
    </w:p>
    <w:p w:rsidR="00C34023" w:rsidRDefault="00C34023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</w:p>
    <w:p w:rsidR="00C34023" w:rsidRDefault="00C34023" w:rsidP="00CF2A2F">
      <w:pPr>
        <w:spacing w:line="240" w:lineRule="exact"/>
        <w:ind w:left="709" w:hanging="709"/>
        <w:rPr>
          <w:sz w:val="24"/>
          <w:szCs w:val="24"/>
        </w:rPr>
      </w:pPr>
    </w:p>
    <w:p w:rsidR="00C34023" w:rsidRDefault="00C34023" w:rsidP="00CF2A2F">
      <w:pPr>
        <w:spacing w:line="240" w:lineRule="exact"/>
        <w:ind w:left="709" w:hanging="709"/>
        <w:rPr>
          <w:sz w:val="24"/>
          <w:szCs w:val="24"/>
        </w:rPr>
      </w:pPr>
    </w:p>
    <w:p w:rsidR="00C34023" w:rsidRDefault="00C34023" w:rsidP="00CF2A2F">
      <w:pPr>
        <w:spacing w:line="240" w:lineRule="exact"/>
        <w:ind w:left="709" w:hanging="709"/>
        <w:rPr>
          <w:sz w:val="24"/>
          <w:szCs w:val="24"/>
        </w:rPr>
      </w:pPr>
    </w:p>
    <w:p w:rsidR="00C34023" w:rsidRDefault="00C34023" w:rsidP="0066255C">
      <w:pPr>
        <w:spacing w:line="360" w:lineRule="atLeast"/>
        <w:ind w:left="510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УТВЕРЖДЕНА</w:t>
      </w:r>
    </w:p>
    <w:p w:rsidR="00C34023" w:rsidRDefault="00C34023" w:rsidP="0066255C">
      <w:pPr>
        <w:spacing w:before="120" w:line="240" w:lineRule="exact"/>
        <w:ind w:left="489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34023" w:rsidRDefault="00C34023" w:rsidP="0066255C">
      <w:pPr>
        <w:spacing w:line="240" w:lineRule="exact"/>
        <w:ind w:left="48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34023" w:rsidRDefault="00C34023" w:rsidP="0066255C">
      <w:pPr>
        <w:spacing w:line="240" w:lineRule="exact"/>
        <w:ind w:left="489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01.11.2016 № 1739</w:t>
      </w:r>
    </w:p>
    <w:p w:rsidR="00C34023" w:rsidRDefault="00C34023" w:rsidP="0066255C">
      <w:pPr>
        <w:spacing w:line="360" w:lineRule="atLeast"/>
        <w:ind w:firstLine="567"/>
        <w:jc w:val="center"/>
        <w:rPr>
          <w:b/>
          <w:kern w:val="24"/>
          <w:sz w:val="28"/>
          <w:szCs w:val="28"/>
        </w:rPr>
      </w:pPr>
    </w:p>
    <w:p w:rsidR="00C34023" w:rsidRDefault="00C34023" w:rsidP="0066255C">
      <w:pPr>
        <w:spacing w:line="360" w:lineRule="atLeast"/>
        <w:ind w:firstLine="567"/>
        <w:jc w:val="center"/>
        <w:rPr>
          <w:b/>
          <w:kern w:val="24"/>
          <w:sz w:val="28"/>
          <w:szCs w:val="28"/>
        </w:rPr>
      </w:pPr>
    </w:p>
    <w:p w:rsidR="00C34023" w:rsidRDefault="00C34023" w:rsidP="0066255C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Муниципальная программа </w:t>
      </w:r>
    </w:p>
    <w:p w:rsidR="00C34023" w:rsidRDefault="00C34023" w:rsidP="0066255C">
      <w:pPr>
        <w:jc w:val="center"/>
        <w:rPr>
          <w:b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Валдайского  района </w:t>
      </w:r>
      <w:r>
        <w:rPr>
          <w:b/>
          <w:sz w:val="28"/>
          <w:szCs w:val="28"/>
        </w:rPr>
        <w:t xml:space="preserve">«Комплексные меры по обеспечению законности </w:t>
      </w:r>
    </w:p>
    <w:p w:rsidR="00C34023" w:rsidRDefault="00C34023" w:rsidP="00662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противодействию  правонарушениям</w:t>
      </w:r>
      <w:r>
        <w:rPr>
          <w:b/>
          <w:kern w:val="24"/>
          <w:sz w:val="28"/>
          <w:szCs w:val="28"/>
        </w:rPr>
        <w:t xml:space="preserve"> на 2017-2019 годы»</w:t>
      </w:r>
    </w:p>
    <w:p w:rsidR="00C34023" w:rsidRDefault="00C34023" w:rsidP="0066255C">
      <w:pPr>
        <w:jc w:val="center"/>
        <w:rPr>
          <w:b/>
          <w:sz w:val="28"/>
          <w:szCs w:val="28"/>
        </w:rPr>
      </w:pPr>
    </w:p>
    <w:p w:rsidR="00C34023" w:rsidRDefault="00C34023" w:rsidP="0066255C">
      <w:pPr>
        <w:jc w:val="center"/>
        <w:rPr>
          <w:b/>
          <w:sz w:val="28"/>
          <w:szCs w:val="28"/>
        </w:rPr>
      </w:pPr>
    </w:p>
    <w:p w:rsidR="00C34023" w:rsidRDefault="00C34023" w:rsidP="00662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C34023" w:rsidRDefault="00C34023" w:rsidP="0066255C">
      <w:pPr>
        <w:jc w:val="center"/>
        <w:rPr>
          <w:b/>
          <w:sz w:val="28"/>
          <w:szCs w:val="28"/>
        </w:rPr>
      </w:pPr>
    </w:p>
    <w:p w:rsidR="00C34023" w:rsidRDefault="00C34023" w:rsidP="0066255C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Наименование муниципальной программы: 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«Комплексные меры по обеспечению законности и противодействию правонарушениям</w:t>
      </w:r>
      <w:r>
        <w:rPr>
          <w:kern w:val="24"/>
          <w:sz w:val="28"/>
          <w:szCs w:val="28"/>
        </w:rPr>
        <w:t xml:space="preserve"> на 2017-2019 годы»</w:t>
      </w:r>
      <w:r>
        <w:rPr>
          <w:sz w:val="28"/>
          <w:szCs w:val="28"/>
        </w:rPr>
        <w:t xml:space="preserve"> (далее муниципальная программа).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Ответственный исполнитель муниципальной программы:</w:t>
      </w:r>
    </w:p>
    <w:p w:rsidR="00C34023" w:rsidRDefault="00C34023" w:rsidP="00662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программы: отдел правового регулирования Администрации Валдайского муниципального района </w:t>
      </w:r>
    </w:p>
    <w:p w:rsidR="00C34023" w:rsidRDefault="00C34023" w:rsidP="0066255C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Соисполнители муниципальной программы: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Валдайского муниципального района;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районная межведомственная комиссия по профилактике терроризма, экстремизма и других правонарушений;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антинаркотическая комиссия в Валдайском муниципальном районе;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противодействию коррупции в Валдайском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районе; 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муниципального района; 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комитет образования Администрации муниципального района;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комитет культуры и туризма Администрации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она; 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отдел по физической культуре и спорту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района;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комитет экономического развития Администрации муниципального района;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финансов Администрации муниципального района; 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организационным и общим вопросам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района;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социальным вопросам Администрации муниципального района;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делам гражданской обороны и чрезвычайным ситуациям Администрации муниципального района;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отдел Министерства внутренних дел России по Валдайскому району (далее ОМВД России по Валдайскому району) (по согласованию);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занятости населения Валдайского района; 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филиал по Валдайскому району ФКУ УИИ УФСИН России по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городской области (по согласованию); 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ОАУ СО «Валдайский комплексный центр социального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ния»;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«Межпоселенч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ская библиотека имени Б.С. Романова Валдайского муниципального района»; 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ГОБУЗ Валдайская центральная районная больница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нию); 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ГОБУЗ "НОНД "Катарсис" (по согласованию); 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учреждения образования и культуры; 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редакция газеты «Валдай» (по согласованию);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областное автономное образовательное учреждение среднего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сионального образования «Колледж сервиса и управления»;</w:t>
      </w:r>
    </w:p>
    <w:p w:rsidR="00C34023" w:rsidRDefault="00C3402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Валдайский филиал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областного государственного бюджетного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фессионального образовательного учреждения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«Новгородский агротехни</w:t>
      </w:r>
      <w:r>
        <w:rPr>
          <w:sz w:val="28"/>
          <w:szCs w:val="28"/>
          <w:shd w:val="clear" w:color="auto" w:fill="FFFFFF"/>
        </w:rPr>
        <w:t>ч</w:t>
      </w:r>
      <w:r>
        <w:rPr>
          <w:sz w:val="28"/>
          <w:szCs w:val="28"/>
          <w:shd w:val="clear" w:color="auto" w:fill="FFFFFF"/>
        </w:rPr>
        <w:t>ский техникум».</w:t>
      </w:r>
    </w:p>
    <w:p w:rsidR="00C34023" w:rsidRDefault="00C34023" w:rsidP="0066255C">
      <w:pPr>
        <w:autoSpaceDE w:val="0"/>
        <w:autoSpaceDN w:val="0"/>
        <w:adjustRightInd w:val="0"/>
        <w:spacing w:after="120"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Задачи и целевые показатели муниципальной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841"/>
        <w:gridCol w:w="1100"/>
        <w:gridCol w:w="1100"/>
        <w:gridCol w:w="1400"/>
      </w:tblGrid>
      <w:tr w:rsidR="00C34023" w:rsidTr="0066255C">
        <w:trPr>
          <w:trHeight w:val="60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:rsidR="00C34023" w:rsidRDefault="00C34023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841" w:type="dxa"/>
            <w:vMerge w:val="restart"/>
            <w:tcBorders>
              <w:bottom w:val="nil"/>
            </w:tcBorders>
            <w:vAlign w:val="center"/>
          </w:tcPr>
          <w:p w:rsidR="00C34023" w:rsidRDefault="00C34023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государственной программы, наименование и единица измерения целевого показателя</w:t>
            </w: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:rsidR="00C34023" w:rsidRDefault="00C34023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 по годам</w:t>
            </w:r>
          </w:p>
        </w:tc>
      </w:tr>
      <w:tr w:rsidR="00C34023" w:rsidTr="0066255C">
        <w:trPr>
          <w:trHeight w:val="364"/>
        </w:trPr>
        <w:tc>
          <w:tcPr>
            <w:tcW w:w="959" w:type="dxa"/>
            <w:vMerge/>
            <w:tcBorders>
              <w:bottom w:val="nil"/>
            </w:tcBorders>
            <w:vAlign w:val="center"/>
          </w:tcPr>
          <w:p w:rsidR="00C34023" w:rsidRDefault="00C34023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vMerge/>
            <w:tcBorders>
              <w:bottom w:val="nil"/>
            </w:tcBorders>
            <w:vAlign w:val="center"/>
          </w:tcPr>
          <w:p w:rsidR="00C34023" w:rsidRDefault="00C3402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C34023" w:rsidRDefault="00C3402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C34023" w:rsidRDefault="00C3402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C34023" w:rsidRDefault="00C3402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</w:tbl>
    <w:p w:rsidR="00C34023" w:rsidRDefault="00C34023" w:rsidP="0066255C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8"/>
        <w:gridCol w:w="4675"/>
        <w:gridCol w:w="1159"/>
        <w:gridCol w:w="57"/>
        <w:gridCol w:w="936"/>
        <w:gridCol w:w="113"/>
        <w:gridCol w:w="1342"/>
      </w:tblGrid>
      <w:tr w:rsidR="00C34023" w:rsidTr="0066255C">
        <w:trPr>
          <w:trHeight w:val="61"/>
        </w:trPr>
        <w:tc>
          <w:tcPr>
            <w:tcW w:w="1118" w:type="dxa"/>
            <w:vAlign w:val="center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  <w:vAlign w:val="center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5" w:type="dxa"/>
            <w:gridSpan w:val="2"/>
            <w:vAlign w:val="center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4023" w:rsidTr="0066255C">
        <w:trPr>
          <w:trHeight w:val="1184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4675" w:type="dxa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Заслушивание на заседаниях райо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межведомственной комиссии по профилактике терроризма,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мизма и других правонарушений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ководителей критически важных, потенциально опасных объектов и объектов жизнеобеспечения,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дящихся на территории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о проводимой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боте по предупреждению террор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стических актов в подведомстве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организациях</w:t>
            </w:r>
          </w:p>
        </w:tc>
        <w:tc>
          <w:tcPr>
            <w:tcW w:w="1159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106" w:type="dxa"/>
            <w:gridSpan w:val="3"/>
          </w:tcPr>
          <w:p w:rsidR="00C34023" w:rsidRDefault="00C34023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342" w:type="dxa"/>
          </w:tcPr>
          <w:p w:rsidR="00C34023" w:rsidRDefault="00C34023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C34023" w:rsidTr="0066255C">
        <w:trPr>
          <w:trHeight w:val="146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282" w:type="dxa"/>
            <w:gridSpan w:val="6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2. </w:t>
            </w:r>
            <w:r>
              <w:rPr>
                <w:sz w:val="28"/>
                <w:szCs w:val="28"/>
                <w:lang w:eastAsia="en-US"/>
              </w:rPr>
              <w:t>Формирование нетерпимости к проявлениям терроризма и экстремизма; проведение пропагандистской работы с населен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ем, направленной на предупреждение террористической и экстр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мистской деятельности</w:t>
            </w:r>
            <w:r>
              <w:rPr>
                <w:lang w:eastAsia="en-US"/>
              </w:rPr>
              <w:t xml:space="preserve">  </w:t>
            </w:r>
          </w:p>
        </w:tc>
      </w:tr>
      <w:tr w:rsidR="00C34023" w:rsidTr="0066255C">
        <w:trPr>
          <w:trHeight w:val="146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4675" w:type="dxa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о недопу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тимости совершения деяний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ристического и экстремистского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рактера, отображения рисунков и надписей националистического и экстремистского характера, межн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циональной и межрелигиозной ро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ни, ответственности за эти действия и проявления</w:t>
            </w:r>
          </w:p>
        </w:tc>
        <w:tc>
          <w:tcPr>
            <w:tcW w:w="1159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106" w:type="dxa"/>
            <w:gridSpan w:val="3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42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  <w:tr w:rsidR="00C34023" w:rsidTr="0066255C">
        <w:trPr>
          <w:trHeight w:val="684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4675" w:type="dxa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учебно-тренировочного занятия по обучению навыкам без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пасного поведения при угрозе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вершения теракта, ЧС</w:t>
            </w:r>
          </w:p>
        </w:tc>
        <w:tc>
          <w:tcPr>
            <w:tcW w:w="1159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106" w:type="dxa"/>
            <w:gridSpan w:val="3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342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C34023" w:rsidTr="0066255C">
        <w:trPr>
          <w:trHeight w:val="177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</w:t>
            </w:r>
          </w:p>
        </w:tc>
        <w:tc>
          <w:tcPr>
            <w:tcW w:w="4675" w:type="dxa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и плакатов на тему: «Молодежь- ЗА культуру мира, ПРОТИВ террори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ма»</w:t>
            </w:r>
          </w:p>
        </w:tc>
        <w:tc>
          <w:tcPr>
            <w:tcW w:w="1159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106" w:type="dxa"/>
            <w:gridSpan w:val="3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342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C34023" w:rsidTr="0066255C">
        <w:trPr>
          <w:trHeight w:val="1140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</w:t>
            </w:r>
          </w:p>
        </w:tc>
        <w:tc>
          <w:tcPr>
            <w:tcW w:w="4675" w:type="dxa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проявлений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ризма на территории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путем проведения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строительству и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тию системы оповещения в г.Валдай</w:t>
            </w:r>
          </w:p>
        </w:tc>
        <w:tc>
          <w:tcPr>
            <w:tcW w:w="1159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 раза в год</w:t>
            </w:r>
          </w:p>
        </w:tc>
        <w:tc>
          <w:tcPr>
            <w:tcW w:w="1106" w:type="dxa"/>
            <w:gridSpan w:val="3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 раза в год</w:t>
            </w:r>
          </w:p>
        </w:tc>
        <w:tc>
          <w:tcPr>
            <w:tcW w:w="1342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раза в год</w:t>
            </w:r>
          </w:p>
        </w:tc>
      </w:tr>
      <w:tr w:rsidR="00C34023" w:rsidTr="00D75648">
        <w:trPr>
          <w:trHeight w:val="1140"/>
        </w:trPr>
        <w:tc>
          <w:tcPr>
            <w:tcW w:w="1118" w:type="dxa"/>
          </w:tcPr>
          <w:p w:rsidR="00C34023" w:rsidRDefault="00C3402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1.2.5.</w:t>
            </w:r>
          </w:p>
        </w:tc>
        <w:tc>
          <w:tcPr>
            <w:tcW w:w="4675" w:type="dxa"/>
          </w:tcPr>
          <w:p w:rsidR="00C34023" w:rsidRDefault="00C34023" w:rsidP="00D7564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проявлений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ризма, экстремизма и других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нарушений путем проведения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строительству системы видеонаблюдения в г. Валдай</w:t>
            </w:r>
          </w:p>
        </w:tc>
        <w:tc>
          <w:tcPr>
            <w:tcW w:w="1159" w:type="dxa"/>
          </w:tcPr>
          <w:p w:rsidR="00C34023" w:rsidRDefault="00C3402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6" w:type="dxa"/>
            <w:gridSpan w:val="3"/>
          </w:tcPr>
          <w:p w:rsidR="00C34023" w:rsidRDefault="00C3402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 раза в год</w:t>
            </w:r>
          </w:p>
        </w:tc>
        <w:tc>
          <w:tcPr>
            <w:tcW w:w="1342" w:type="dxa"/>
          </w:tcPr>
          <w:p w:rsidR="00C34023" w:rsidRDefault="00C3402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раза в год</w:t>
            </w:r>
          </w:p>
        </w:tc>
      </w:tr>
      <w:tr w:rsidR="00C34023" w:rsidTr="0066255C">
        <w:trPr>
          <w:trHeight w:val="280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282" w:type="dxa"/>
            <w:gridSpan w:val="6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Профилактика безнадзорности и правонарушений </w:t>
            </w:r>
          </w:p>
        </w:tc>
      </w:tr>
      <w:tr w:rsidR="00C34023" w:rsidTr="0066255C">
        <w:trPr>
          <w:trHeight w:val="380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4675" w:type="dxa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профилактической оп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 «Подросток», направленной на предупреждение безнадзорности и правонарушений несовершенн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летних, улучшение индивидуально- воспитательной работы с ними,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явление детей «группы риска» 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из неблагополучных семей</w:t>
            </w:r>
          </w:p>
        </w:tc>
        <w:tc>
          <w:tcPr>
            <w:tcW w:w="1159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106" w:type="dxa"/>
            <w:gridSpan w:val="3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342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C34023" w:rsidTr="0066255C">
        <w:trPr>
          <w:trHeight w:val="380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4675" w:type="dxa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лактики правонарушений</w:t>
            </w:r>
          </w:p>
        </w:tc>
        <w:tc>
          <w:tcPr>
            <w:tcW w:w="1159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 раз в год</w:t>
            </w:r>
          </w:p>
        </w:tc>
        <w:tc>
          <w:tcPr>
            <w:tcW w:w="1106" w:type="dxa"/>
            <w:gridSpan w:val="3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 раз в год</w:t>
            </w:r>
          </w:p>
        </w:tc>
        <w:tc>
          <w:tcPr>
            <w:tcW w:w="1342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 раз в год</w:t>
            </w:r>
          </w:p>
        </w:tc>
      </w:tr>
      <w:tr w:rsidR="00C34023" w:rsidTr="0066255C">
        <w:trPr>
          <w:trHeight w:val="380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1.3.3.</w:t>
            </w:r>
          </w:p>
        </w:tc>
        <w:tc>
          <w:tcPr>
            <w:tcW w:w="4675" w:type="dxa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добровольных народных дружин поощренных в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четном периоде</w:t>
            </w:r>
          </w:p>
        </w:tc>
        <w:tc>
          <w:tcPr>
            <w:tcW w:w="1159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gridSpan w:val="3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C34023" w:rsidTr="00D75648">
        <w:trPr>
          <w:trHeight w:val="380"/>
        </w:trPr>
        <w:tc>
          <w:tcPr>
            <w:tcW w:w="1118" w:type="dxa"/>
          </w:tcPr>
          <w:p w:rsidR="00C34023" w:rsidRDefault="00C3402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1.3.4.</w:t>
            </w:r>
          </w:p>
        </w:tc>
        <w:tc>
          <w:tcPr>
            <w:tcW w:w="4675" w:type="dxa"/>
          </w:tcPr>
          <w:p w:rsidR="00C34023" w:rsidRDefault="00C34023" w:rsidP="00D7564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по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профилактики безнадзорн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правонарушений путем изг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товления информационного стенда</w:t>
            </w:r>
          </w:p>
        </w:tc>
        <w:tc>
          <w:tcPr>
            <w:tcW w:w="1159" w:type="dxa"/>
          </w:tcPr>
          <w:p w:rsidR="00C34023" w:rsidRDefault="00C3402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3"/>
          </w:tcPr>
          <w:p w:rsidR="00C34023" w:rsidRDefault="00C3402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</w:tcPr>
          <w:p w:rsidR="00C34023" w:rsidRDefault="00C3402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C34023" w:rsidTr="0066255C">
        <w:trPr>
          <w:trHeight w:val="146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282" w:type="dxa"/>
            <w:gridSpan w:val="6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4. Информационно-методическое обеспечение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тики терроризма, экстремизма и других правонарушений, 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шение уровня доверия граждан к правоохранительным органам</w:t>
            </w:r>
          </w:p>
        </w:tc>
      </w:tr>
      <w:tr w:rsidR="00C34023" w:rsidTr="0066255C">
        <w:trPr>
          <w:trHeight w:val="146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4675" w:type="dxa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населения, по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предупреждения терроризма и экстремизма, в том числе разм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 информационных материалов о действиях в случае возникновения угроз террористического характера, а также размещение соответству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щей информации на стендах</w:t>
            </w:r>
          </w:p>
        </w:tc>
        <w:tc>
          <w:tcPr>
            <w:tcW w:w="1159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 раза в год</w:t>
            </w:r>
          </w:p>
        </w:tc>
        <w:tc>
          <w:tcPr>
            <w:tcW w:w="1106" w:type="dxa"/>
            <w:gridSpan w:val="3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раза в год</w:t>
            </w:r>
          </w:p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34023" w:rsidTr="0066255C">
        <w:trPr>
          <w:trHeight w:val="146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1.4.2.</w:t>
            </w:r>
          </w:p>
        </w:tc>
        <w:tc>
          <w:tcPr>
            <w:tcW w:w="4675" w:type="dxa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Информирование населения </w:t>
            </w:r>
            <w:r>
              <w:rPr>
                <w:sz w:val="28"/>
                <w:szCs w:val="28"/>
              </w:rPr>
              <w:t>по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профилактики правонаруш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ний,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в том числе размещение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формационных материалов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 спос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бах и средствах правомерной защ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 от преступных посягательств</w:t>
            </w:r>
          </w:p>
        </w:tc>
        <w:tc>
          <w:tcPr>
            <w:tcW w:w="1159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 раза в год</w:t>
            </w:r>
          </w:p>
        </w:tc>
        <w:tc>
          <w:tcPr>
            <w:tcW w:w="1106" w:type="dxa"/>
            <w:gridSpan w:val="3"/>
          </w:tcPr>
          <w:p w:rsidR="00C34023" w:rsidRDefault="00C3402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 раза в год</w:t>
            </w:r>
          </w:p>
        </w:tc>
        <w:tc>
          <w:tcPr>
            <w:tcW w:w="1342" w:type="dxa"/>
          </w:tcPr>
          <w:p w:rsidR="00C34023" w:rsidRDefault="00C3402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 менее 1 раза в год</w:t>
            </w:r>
          </w:p>
        </w:tc>
      </w:tr>
      <w:tr w:rsidR="00C34023" w:rsidTr="009F02FD">
        <w:trPr>
          <w:trHeight w:val="146"/>
        </w:trPr>
        <w:tc>
          <w:tcPr>
            <w:tcW w:w="1118" w:type="dxa"/>
          </w:tcPr>
          <w:p w:rsidR="00C34023" w:rsidRDefault="00C34023" w:rsidP="009F02F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1.4.3.</w:t>
            </w:r>
          </w:p>
        </w:tc>
        <w:tc>
          <w:tcPr>
            <w:tcW w:w="4675" w:type="dxa"/>
          </w:tcPr>
          <w:p w:rsidR="00C34023" w:rsidRDefault="00C34023" w:rsidP="009F02F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Разъяснение сущности терроризма и его общественной опасности, фо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мирование стойкого неприятия 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ществом идеологии терроризма в различных ее проявлениях</w:t>
            </w:r>
          </w:p>
        </w:tc>
        <w:tc>
          <w:tcPr>
            <w:tcW w:w="1159" w:type="dxa"/>
          </w:tcPr>
          <w:p w:rsidR="00C34023" w:rsidRDefault="00C34023" w:rsidP="009F02F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_-</w:t>
            </w:r>
          </w:p>
        </w:tc>
        <w:tc>
          <w:tcPr>
            <w:tcW w:w="1106" w:type="dxa"/>
            <w:gridSpan w:val="3"/>
          </w:tcPr>
          <w:p w:rsidR="00C34023" w:rsidRDefault="00C34023" w:rsidP="009F02FD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 раза в год</w:t>
            </w:r>
          </w:p>
        </w:tc>
        <w:tc>
          <w:tcPr>
            <w:tcW w:w="1342" w:type="dxa"/>
          </w:tcPr>
          <w:p w:rsidR="00C34023" w:rsidRDefault="00C34023" w:rsidP="009F02FD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 менее 1 раза в год</w:t>
            </w:r>
          </w:p>
        </w:tc>
      </w:tr>
      <w:tr w:rsidR="00C34023" w:rsidTr="0066255C">
        <w:trPr>
          <w:trHeight w:val="146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82" w:type="dxa"/>
            <w:gridSpan w:val="6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2. Противодействие наркомании и зависимости от других психоактивных веществ в Валдайском муниципальном районе</w:t>
            </w:r>
          </w:p>
        </w:tc>
      </w:tr>
      <w:tr w:rsidR="00C34023" w:rsidTr="0066255C">
        <w:trPr>
          <w:trHeight w:val="146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282" w:type="dxa"/>
            <w:gridSpan w:val="6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Снижение на 5 % актуальности проблем, связанных со злоупотреблением наркотиками и другими психоактивными вещ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ствами в Валдайском муниципальном районе</w:t>
            </w:r>
          </w:p>
        </w:tc>
      </w:tr>
      <w:tr w:rsidR="00C34023" w:rsidTr="0066255C">
        <w:trPr>
          <w:trHeight w:val="146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4675" w:type="dxa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больных в Валдайском районе впервые в жизни установленным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агнозом наркологического расстро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ства: "психические и поведенческие расстройства, вызванные употребл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психоактивных веществ" (з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болеваемость) (суммарно по всем видам наркологических расстройств) (чел., в расчете на 100 тыс. человек населения)</w:t>
            </w:r>
          </w:p>
        </w:tc>
        <w:tc>
          <w:tcPr>
            <w:tcW w:w="1159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  <w:tc>
          <w:tcPr>
            <w:tcW w:w="1106" w:type="dxa"/>
            <w:gridSpan w:val="3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342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</w:tr>
      <w:tr w:rsidR="00C34023" w:rsidTr="0066255C">
        <w:trPr>
          <w:trHeight w:val="146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4675" w:type="dxa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больных в Валдайском районе с наркологическими расстройств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ми, зарегистрированных нарколог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ческими учреждениями с диагнозом: "психические и поведенческие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стройства, вызванные употреблен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психоактивных веществ" (ра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пространенность) (суммарно по всем видам наркологических расстройств) (чел., в расчете на 100 тыс. человек населения)</w:t>
            </w:r>
          </w:p>
        </w:tc>
        <w:tc>
          <w:tcPr>
            <w:tcW w:w="1159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2602,5</w:t>
            </w:r>
          </w:p>
        </w:tc>
        <w:tc>
          <w:tcPr>
            <w:tcW w:w="1106" w:type="dxa"/>
            <w:gridSpan w:val="3"/>
          </w:tcPr>
          <w:p w:rsidR="00C34023" w:rsidRDefault="00C3402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2472,4</w:t>
            </w:r>
          </w:p>
        </w:tc>
        <w:tc>
          <w:tcPr>
            <w:tcW w:w="1342" w:type="dxa"/>
          </w:tcPr>
          <w:p w:rsidR="00C34023" w:rsidRDefault="00C3402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2348,7</w:t>
            </w:r>
          </w:p>
        </w:tc>
      </w:tr>
      <w:tr w:rsidR="00C34023" w:rsidTr="0066255C">
        <w:trPr>
          <w:trHeight w:val="146"/>
        </w:trPr>
        <w:tc>
          <w:tcPr>
            <w:tcW w:w="1118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82" w:type="dxa"/>
            <w:gridSpan w:val="6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3. Противодействие коррупции в Валдайском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районе</w:t>
            </w:r>
          </w:p>
        </w:tc>
      </w:tr>
      <w:tr w:rsidR="00C34023" w:rsidTr="0066255C">
        <w:trPr>
          <w:trHeight w:val="146"/>
        </w:trPr>
        <w:tc>
          <w:tcPr>
            <w:tcW w:w="1118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282" w:type="dxa"/>
            <w:gridSpan w:val="6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Формирование в обществе нетерпимости к коррупцио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ному поведению, создание условий для обеспечения участия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ститутов гражданского общества в противодействии коррупции, обеспечение доступа граждан к информации о деятельности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местного самоуправления района</w:t>
            </w:r>
          </w:p>
        </w:tc>
      </w:tr>
      <w:tr w:rsidR="00C34023" w:rsidTr="0066255C">
        <w:trPr>
          <w:trHeight w:val="146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</w:t>
            </w:r>
          </w:p>
        </w:tc>
        <w:tc>
          <w:tcPr>
            <w:tcW w:w="4675" w:type="dxa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Информирование населения </w:t>
            </w:r>
            <w:r>
              <w:rPr>
                <w:sz w:val="28"/>
                <w:szCs w:val="28"/>
              </w:rPr>
              <w:t>по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противодействия коррупции,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в том числе подготовка и размещ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информационных материалов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 профилактике коррупционных пр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ступлений</w:t>
            </w:r>
          </w:p>
        </w:tc>
        <w:tc>
          <w:tcPr>
            <w:tcW w:w="1159" w:type="dxa"/>
          </w:tcPr>
          <w:p w:rsidR="00C34023" w:rsidRDefault="00C3402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 раза в год</w:t>
            </w:r>
          </w:p>
        </w:tc>
        <w:tc>
          <w:tcPr>
            <w:tcW w:w="1106" w:type="dxa"/>
            <w:gridSpan w:val="3"/>
          </w:tcPr>
          <w:p w:rsidR="00C34023" w:rsidRDefault="00C3402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 раза в год</w:t>
            </w:r>
          </w:p>
        </w:tc>
        <w:tc>
          <w:tcPr>
            <w:tcW w:w="1342" w:type="dxa"/>
          </w:tcPr>
          <w:p w:rsidR="00C34023" w:rsidRDefault="00C3402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 менее 1 раза в год</w:t>
            </w:r>
          </w:p>
        </w:tc>
      </w:tr>
      <w:tr w:rsidR="00C34023" w:rsidTr="0066255C">
        <w:trPr>
          <w:trHeight w:val="146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</w:t>
            </w:r>
          </w:p>
        </w:tc>
        <w:tc>
          <w:tcPr>
            <w:tcW w:w="4675" w:type="dxa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проектов нормативных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актов района, разработчиками которых являются органы местного самоуправления района, подлеж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 обсуждению на общественные (публичные) слушанья прошедших таковые (%)</w:t>
            </w:r>
          </w:p>
        </w:tc>
        <w:tc>
          <w:tcPr>
            <w:tcW w:w="1159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  <w:gridSpan w:val="3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2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34023" w:rsidTr="0066255C">
        <w:trPr>
          <w:trHeight w:val="146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282" w:type="dxa"/>
            <w:gridSpan w:val="6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Повышение качества нормативных правовых актов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Валдайского муниципального района и их проектов за счет проведения антикоррупционной экспертизы</w:t>
            </w:r>
          </w:p>
        </w:tc>
      </w:tr>
      <w:tr w:rsidR="00C34023" w:rsidTr="0066255C">
        <w:trPr>
          <w:trHeight w:val="146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</w:t>
            </w:r>
          </w:p>
        </w:tc>
        <w:tc>
          <w:tcPr>
            <w:tcW w:w="4675" w:type="dxa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нормативных правовых актов, прошедших антикоррупционную экспертизу (%)</w:t>
            </w:r>
          </w:p>
        </w:tc>
        <w:tc>
          <w:tcPr>
            <w:tcW w:w="1159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  <w:gridSpan w:val="3"/>
          </w:tcPr>
          <w:p w:rsidR="00C34023" w:rsidRDefault="00C3402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2" w:type="dxa"/>
          </w:tcPr>
          <w:p w:rsidR="00C34023" w:rsidRDefault="00C3402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34023" w:rsidTr="0066255C">
        <w:trPr>
          <w:trHeight w:val="551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282" w:type="dxa"/>
            <w:gridSpan w:val="6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3. Формирование антикоррупционного мировоззрения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служащих</w:t>
            </w:r>
          </w:p>
        </w:tc>
      </w:tr>
      <w:tr w:rsidR="00C34023" w:rsidTr="0066255C">
        <w:trPr>
          <w:trHeight w:val="146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3.3.1.</w:t>
            </w:r>
          </w:p>
        </w:tc>
        <w:tc>
          <w:tcPr>
            <w:tcW w:w="4675" w:type="dxa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служ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 и служащих прошедших 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по вопросам противодействия коррупции</w:t>
            </w:r>
          </w:p>
        </w:tc>
        <w:tc>
          <w:tcPr>
            <w:tcW w:w="1159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  <w:gridSpan w:val="3"/>
          </w:tcPr>
          <w:p w:rsidR="00C34023" w:rsidRDefault="00C3402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34023" w:rsidRDefault="00C3402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4023" w:rsidTr="0066255C">
        <w:trPr>
          <w:trHeight w:val="457"/>
        </w:trPr>
        <w:tc>
          <w:tcPr>
            <w:tcW w:w="1118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3.3.2.</w:t>
            </w:r>
          </w:p>
        </w:tc>
        <w:tc>
          <w:tcPr>
            <w:tcW w:w="4675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муниципальных служащих,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носящихся к категории лиц, обяза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предоставлять сведении о дох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дах и расходах, и предоставивших таковые (%)</w:t>
            </w:r>
          </w:p>
        </w:tc>
        <w:tc>
          <w:tcPr>
            <w:tcW w:w="1159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2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34023" w:rsidTr="0066255C">
        <w:trPr>
          <w:trHeight w:val="912"/>
        </w:trPr>
        <w:tc>
          <w:tcPr>
            <w:tcW w:w="1118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3.3.3.</w:t>
            </w:r>
          </w:p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правосознания и правовой культуры муниципальных служащих в сфере противодействия коррупции</w:t>
            </w:r>
          </w:p>
        </w:tc>
        <w:tc>
          <w:tcPr>
            <w:tcW w:w="1216" w:type="dxa"/>
            <w:gridSpan w:val="2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год</w:t>
            </w:r>
          </w:p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год</w:t>
            </w:r>
          </w:p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год</w:t>
            </w:r>
          </w:p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34023" w:rsidTr="00D11ABC">
        <w:trPr>
          <w:trHeight w:val="210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8282" w:type="dxa"/>
            <w:gridSpan w:val="6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4. Обеспечение антикоррупционного мониторинга</w:t>
            </w:r>
          </w:p>
        </w:tc>
      </w:tr>
      <w:tr w:rsidR="00C34023" w:rsidTr="00D11ABC">
        <w:trPr>
          <w:trHeight w:val="1280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3.4.1.</w:t>
            </w:r>
          </w:p>
        </w:tc>
        <w:tc>
          <w:tcPr>
            <w:tcW w:w="4675" w:type="dxa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представленной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воохранительными органами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 при подготовке отчета о состоянии коррупции и реализации мер антикоррупционной политики (%)</w:t>
            </w:r>
          </w:p>
        </w:tc>
        <w:tc>
          <w:tcPr>
            <w:tcW w:w="1159" w:type="dxa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  <w:gridSpan w:val="3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2" w:type="dxa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34023" w:rsidTr="00D11ABC">
        <w:trPr>
          <w:trHeight w:val="711"/>
        </w:trPr>
        <w:tc>
          <w:tcPr>
            <w:tcW w:w="1118" w:type="dxa"/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8282" w:type="dxa"/>
            <w:gridSpan w:val="6"/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5. Устранение коррупциогенных факторов, препятству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созданию благоприятных условий для привлечения инвест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ций. Устранение необоснованных запретов и ограничений в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 экономической деятельности</w:t>
            </w:r>
          </w:p>
        </w:tc>
      </w:tr>
      <w:tr w:rsidR="00C34023" w:rsidTr="0066255C">
        <w:trPr>
          <w:trHeight w:val="1255"/>
        </w:trPr>
        <w:tc>
          <w:tcPr>
            <w:tcW w:w="1118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3.5.1.</w:t>
            </w:r>
          </w:p>
        </w:tc>
        <w:tc>
          <w:tcPr>
            <w:tcW w:w="4675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Доля рассмотренных предложений по устранению коррупциогенных факторов, препятствующих созд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благоприятных условий для привлечения инвестиций, от числа внесенных инвестиций %</w:t>
            </w:r>
          </w:p>
        </w:tc>
        <w:tc>
          <w:tcPr>
            <w:tcW w:w="1159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2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34023" w:rsidTr="0066255C">
        <w:trPr>
          <w:trHeight w:val="716"/>
        </w:trPr>
        <w:tc>
          <w:tcPr>
            <w:tcW w:w="1118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3.5.2.</w:t>
            </w:r>
          </w:p>
        </w:tc>
        <w:tc>
          <w:tcPr>
            <w:tcW w:w="4675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устраненных необоснованных запретов и ограничений в сфере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номической деятельности от числа выявленных %</w:t>
            </w:r>
          </w:p>
        </w:tc>
        <w:tc>
          <w:tcPr>
            <w:tcW w:w="1159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2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34023" w:rsidTr="0066255C">
        <w:trPr>
          <w:trHeight w:val="470"/>
        </w:trPr>
        <w:tc>
          <w:tcPr>
            <w:tcW w:w="1118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3.5.3.</w:t>
            </w:r>
          </w:p>
        </w:tc>
        <w:tc>
          <w:tcPr>
            <w:tcW w:w="4675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выявленных нарушений по предоставлению субсидий субъе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там малого и среднего бизнеса</w:t>
            </w:r>
          </w:p>
        </w:tc>
        <w:tc>
          <w:tcPr>
            <w:tcW w:w="1159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4023" w:rsidTr="0066255C">
        <w:trPr>
          <w:trHeight w:val="268"/>
        </w:trPr>
        <w:tc>
          <w:tcPr>
            <w:tcW w:w="1118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8282" w:type="dxa"/>
            <w:gridSpan w:val="6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6. Обеспечение добросовестности, открытости, добросов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стной конкуренции и объективности при осуществлении закупок для обеспечения муниципальных нужд района</w:t>
            </w:r>
          </w:p>
        </w:tc>
      </w:tr>
      <w:tr w:rsidR="00C34023" w:rsidTr="0066255C">
        <w:trPr>
          <w:trHeight w:val="1172"/>
        </w:trPr>
        <w:tc>
          <w:tcPr>
            <w:tcW w:w="1118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3.6.1.</w:t>
            </w:r>
          </w:p>
        </w:tc>
        <w:tc>
          <w:tcPr>
            <w:tcW w:w="4675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плановых проверок при осуществлении закупок для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государственных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нужд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(ед.)</w:t>
            </w:r>
          </w:p>
        </w:tc>
        <w:tc>
          <w:tcPr>
            <w:tcW w:w="1159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4023" w:rsidTr="0066255C">
        <w:trPr>
          <w:trHeight w:val="669"/>
        </w:trPr>
        <w:tc>
          <w:tcPr>
            <w:tcW w:w="1118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3.6.2.</w:t>
            </w:r>
          </w:p>
        </w:tc>
        <w:tc>
          <w:tcPr>
            <w:tcW w:w="4675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заключенных органами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самоуправления района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контрактов, исполне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поставщиком (подрядчиком, исполнителем) с нарушением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вий, в отношении которых приняты меры ответственности (ед.)</w:t>
            </w:r>
          </w:p>
        </w:tc>
        <w:tc>
          <w:tcPr>
            <w:tcW w:w="1159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4023" w:rsidTr="0066255C">
        <w:trPr>
          <w:trHeight w:val="960"/>
        </w:trPr>
        <w:tc>
          <w:tcPr>
            <w:tcW w:w="1118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3.6.3.</w:t>
            </w:r>
          </w:p>
        </w:tc>
        <w:tc>
          <w:tcPr>
            <w:tcW w:w="4675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служ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 и служащих прошедших 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по вопросам соблюдения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нодательства в сфере размещения муниципального заказа</w:t>
            </w:r>
          </w:p>
        </w:tc>
        <w:tc>
          <w:tcPr>
            <w:tcW w:w="1159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nil"/>
            </w:tcBorders>
          </w:tcPr>
          <w:p w:rsidR="00C34023" w:rsidRDefault="00C340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34023" w:rsidRDefault="00C34023" w:rsidP="0066255C">
      <w:pPr>
        <w:jc w:val="both"/>
        <w:rPr>
          <w:b/>
          <w:sz w:val="28"/>
          <w:szCs w:val="28"/>
        </w:rPr>
      </w:pPr>
    </w:p>
    <w:p w:rsidR="00C34023" w:rsidRDefault="00C34023" w:rsidP="0066255C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Сроки реализации муниципальной программы: </w:t>
      </w:r>
    </w:p>
    <w:p w:rsidR="00C34023" w:rsidRDefault="00C34023" w:rsidP="0066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2017-2019 годы. </w:t>
      </w:r>
    </w:p>
    <w:p w:rsidR="00C34023" w:rsidRDefault="00C34023" w:rsidP="0066255C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Объемы и источники финансирования муниципальной </w:t>
      </w:r>
      <w:r>
        <w:rPr>
          <w:b/>
          <w:sz w:val="28"/>
          <w:szCs w:val="28"/>
        </w:rPr>
        <w:br/>
        <w:t>программы в целом и по годам реализации (руб.):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1516"/>
        <w:gridCol w:w="2274"/>
        <w:gridCol w:w="1894"/>
        <w:gridCol w:w="2038"/>
      </w:tblGrid>
      <w:tr w:rsidR="00C34023" w:rsidTr="0066255C">
        <w:trPr>
          <w:trHeight w:val="271"/>
        </w:trPr>
        <w:tc>
          <w:tcPr>
            <w:tcW w:w="1507" w:type="dxa"/>
            <w:vMerge w:val="restart"/>
            <w:vAlign w:val="center"/>
          </w:tcPr>
          <w:p w:rsidR="00C34023" w:rsidRDefault="00C34023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7722" w:type="dxa"/>
            <w:gridSpan w:val="4"/>
          </w:tcPr>
          <w:p w:rsidR="00C34023" w:rsidRDefault="00C34023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C34023" w:rsidTr="0066255C">
        <w:trPr>
          <w:trHeight w:val="144"/>
        </w:trPr>
        <w:tc>
          <w:tcPr>
            <w:tcW w:w="1507" w:type="dxa"/>
            <w:vMerge/>
            <w:vAlign w:val="center"/>
          </w:tcPr>
          <w:p w:rsidR="00C34023" w:rsidRDefault="00C34023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C34023" w:rsidRDefault="00C34023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Валда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2274" w:type="dxa"/>
          </w:tcPr>
          <w:p w:rsidR="00C34023" w:rsidRDefault="00C34023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Валда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городского поселения</w:t>
            </w:r>
          </w:p>
        </w:tc>
        <w:tc>
          <w:tcPr>
            <w:tcW w:w="1894" w:type="dxa"/>
            <w:vAlign w:val="center"/>
          </w:tcPr>
          <w:p w:rsidR="00C34023" w:rsidRDefault="00C34023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ные средства</w:t>
            </w:r>
          </w:p>
        </w:tc>
        <w:tc>
          <w:tcPr>
            <w:tcW w:w="2037" w:type="dxa"/>
            <w:vAlign w:val="center"/>
          </w:tcPr>
          <w:p w:rsidR="00C34023" w:rsidRDefault="00C34023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C34023" w:rsidTr="0066255C">
        <w:trPr>
          <w:trHeight w:val="346"/>
        </w:trPr>
        <w:tc>
          <w:tcPr>
            <w:tcW w:w="1507" w:type="dxa"/>
          </w:tcPr>
          <w:p w:rsidR="00C34023" w:rsidRDefault="00C3402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16" w:type="dxa"/>
          </w:tcPr>
          <w:p w:rsidR="00C34023" w:rsidRDefault="00C3402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20 800</w:t>
            </w:r>
          </w:p>
        </w:tc>
        <w:tc>
          <w:tcPr>
            <w:tcW w:w="2274" w:type="dxa"/>
          </w:tcPr>
          <w:p w:rsidR="00C34023" w:rsidRPr="006A02F5" w:rsidRDefault="00C3402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A02F5">
              <w:rPr>
                <w:sz w:val="28"/>
                <w:szCs w:val="28"/>
              </w:rPr>
              <w:t>333</w:t>
            </w:r>
            <w:r>
              <w:rPr>
                <w:sz w:val="28"/>
                <w:szCs w:val="28"/>
              </w:rPr>
              <w:t xml:space="preserve"> </w:t>
            </w:r>
            <w:r w:rsidRPr="006A02F5">
              <w:rPr>
                <w:sz w:val="28"/>
                <w:szCs w:val="28"/>
              </w:rPr>
              <w:t>584</w:t>
            </w:r>
          </w:p>
        </w:tc>
        <w:tc>
          <w:tcPr>
            <w:tcW w:w="1894" w:type="dxa"/>
          </w:tcPr>
          <w:p w:rsidR="00C34023" w:rsidRPr="006A02F5" w:rsidRDefault="00C3402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C34023" w:rsidRPr="006A02F5" w:rsidRDefault="00C34023">
            <w:pPr>
              <w:spacing w:before="120" w:line="240" w:lineRule="exact"/>
              <w:rPr>
                <w:sz w:val="28"/>
              </w:rPr>
            </w:pPr>
            <w:r w:rsidRPr="006A02F5">
              <w:rPr>
                <w:sz w:val="28"/>
              </w:rPr>
              <w:t>354</w:t>
            </w:r>
            <w:r>
              <w:rPr>
                <w:sz w:val="28"/>
              </w:rPr>
              <w:t xml:space="preserve"> </w:t>
            </w:r>
            <w:r w:rsidRPr="006A02F5">
              <w:rPr>
                <w:sz w:val="28"/>
              </w:rPr>
              <w:t>384</w:t>
            </w:r>
          </w:p>
        </w:tc>
      </w:tr>
      <w:tr w:rsidR="00C34023" w:rsidTr="0066255C">
        <w:trPr>
          <w:trHeight w:val="361"/>
        </w:trPr>
        <w:tc>
          <w:tcPr>
            <w:tcW w:w="1507" w:type="dxa"/>
          </w:tcPr>
          <w:p w:rsidR="00C34023" w:rsidRDefault="00C3402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16" w:type="dxa"/>
          </w:tcPr>
          <w:p w:rsidR="00C34023" w:rsidRDefault="00C3402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18 600</w:t>
            </w:r>
          </w:p>
        </w:tc>
        <w:tc>
          <w:tcPr>
            <w:tcW w:w="2274" w:type="dxa"/>
          </w:tcPr>
          <w:p w:rsidR="00C34023" w:rsidRDefault="00C3402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1 484 689,9</w:t>
            </w:r>
          </w:p>
        </w:tc>
        <w:tc>
          <w:tcPr>
            <w:tcW w:w="1894" w:type="dxa"/>
          </w:tcPr>
          <w:p w:rsidR="00C34023" w:rsidRDefault="00C3402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C34023" w:rsidRDefault="00C34023">
            <w:pPr>
              <w:spacing w:before="120" w:line="240" w:lineRule="exact"/>
              <w:rPr>
                <w:sz w:val="28"/>
              </w:rPr>
            </w:pPr>
            <w:r>
              <w:rPr>
                <w:sz w:val="28"/>
              </w:rPr>
              <w:t>1 503 289,9</w:t>
            </w:r>
          </w:p>
        </w:tc>
      </w:tr>
      <w:tr w:rsidR="00C34023" w:rsidTr="0066255C">
        <w:trPr>
          <w:trHeight w:val="361"/>
        </w:trPr>
        <w:tc>
          <w:tcPr>
            <w:tcW w:w="1507" w:type="dxa"/>
          </w:tcPr>
          <w:p w:rsidR="00C34023" w:rsidRDefault="00C3402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16" w:type="dxa"/>
          </w:tcPr>
          <w:p w:rsidR="00C34023" w:rsidRDefault="00C3402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21 300</w:t>
            </w:r>
          </w:p>
        </w:tc>
        <w:tc>
          <w:tcPr>
            <w:tcW w:w="2274" w:type="dxa"/>
          </w:tcPr>
          <w:p w:rsidR="00C34023" w:rsidRDefault="00C3402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1 290 792</w:t>
            </w:r>
          </w:p>
        </w:tc>
        <w:tc>
          <w:tcPr>
            <w:tcW w:w="1894" w:type="dxa"/>
          </w:tcPr>
          <w:p w:rsidR="00C34023" w:rsidRDefault="00C3402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C34023" w:rsidRDefault="00C3402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1 312 092</w:t>
            </w:r>
          </w:p>
        </w:tc>
      </w:tr>
      <w:tr w:rsidR="00C34023" w:rsidTr="006A02F5">
        <w:trPr>
          <w:trHeight w:val="344"/>
        </w:trPr>
        <w:tc>
          <w:tcPr>
            <w:tcW w:w="1507" w:type="dxa"/>
          </w:tcPr>
          <w:p w:rsidR="00C34023" w:rsidRDefault="00C3402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6" w:type="dxa"/>
          </w:tcPr>
          <w:p w:rsidR="00C34023" w:rsidRDefault="00C3402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60 700</w:t>
            </w:r>
          </w:p>
        </w:tc>
        <w:tc>
          <w:tcPr>
            <w:tcW w:w="2274" w:type="dxa"/>
          </w:tcPr>
          <w:p w:rsidR="00C34023" w:rsidRPr="006A02F5" w:rsidRDefault="00C3402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3 109 065,9</w:t>
            </w:r>
          </w:p>
        </w:tc>
        <w:tc>
          <w:tcPr>
            <w:tcW w:w="1894" w:type="dxa"/>
          </w:tcPr>
          <w:p w:rsidR="00C34023" w:rsidRPr="006A02F5" w:rsidRDefault="00C34023">
            <w:pPr>
              <w:spacing w:before="120" w:line="24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</w:tcPr>
          <w:p w:rsidR="00C34023" w:rsidRPr="006A02F5" w:rsidRDefault="00C3402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3 169 765,9</w:t>
            </w:r>
          </w:p>
        </w:tc>
      </w:tr>
    </w:tbl>
    <w:p w:rsidR="00C34023" w:rsidRDefault="00C34023" w:rsidP="0066255C">
      <w:pPr>
        <w:spacing w:line="360" w:lineRule="atLeast"/>
        <w:ind w:firstLine="600"/>
        <w:jc w:val="both"/>
        <w:rPr>
          <w:sz w:val="28"/>
          <w:szCs w:val="28"/>
        </w:rPr>
      </w:pPr>
    </w:p>
    <w:p w:rsidR="00C34023" w:rsidRDefault="00C34023" w:rsidP="0066255C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Характеристика текущего состояния правопорядка на террит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рии Валдайского муниципального района, приоритеты и цели 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пальной политики в указанной сфере</w:t>
      </w:r>
    </w:p>
    <w:p w:rsidR="00C34023" w:rsidRDefault="00C34023" w:rsidP="0066255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правопорядка на территории Валдайского муниципального района является относительно стабильным. </w:t>
      </w:r>
    </w:p>
    <w:p w:rsidR="00C34023" w:rsidRDefault="00C34023" w:rsidP="0066255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за 1 полугодие 2016 года на территории Валдайского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 зарегистрировано  1 преступление террористической и экстремистской направленности, зарегистрировано 2 преступления связа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с незаконным оборотом оружия.</w:t>
      </w:r>
    </w:p>
    <w:p w:rsidR="00C34023" w:rsidRDefault="00C34023" w:rsidP="0066255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свидетельствует об актуальности проблем предупреждения проявлений терроризма, экстремизма, правонарушений на территории Ва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дайского муниципального района.</w:t>
      </w:r>
    </w:p>
    <w:p w:rsidR="00C34023" w:rsidRDefault="00C34023" w:rsidP="0066255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2014 и 2015 годов на территории Валдайского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сохраняется тяжелая наркотическая ситуация. Однако ну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 отметить, что еще в 2011 году наркотическая ситуация в районе была кр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тической. В 2014 году впервые за последние годы отмечено снижение реги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нального показателя «Распространенность наркомании» (-3,6%), который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ставил 276,8 чел. на 100 тыс. человек населения области. Вместе с тем, он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тается выше среднероссийского значения 2013 года (227,2 на 100 тыс.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 населения).</w:t>
      </w:r>
    </w:p>
    <w:p w:rsidR="00C34023" w:rsidRDefault="00C34023" w:rsidP="0066255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Остается актуальным вопрос противодействия коррупции в Валда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ском муниципальном районе.</w:t>
      </w:r>
    </w:p>
    <w:p w:rsidR="00C34023" w:rsidRDefault="00C34023" w:rsidP="0066255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2016 года выявлено 2 правонарушения коррупционной направленности в сфере муниципальной службы, связанные с несоблюден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законодательства по урегулированию конфликтов интересов.</w:t>
      </w:r>
    </w:p>
    <w:p w:rsidR="00C34023" w:rsidRDefault="00C34023" w:rsidP="0066255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быть актуальной проблема принятия нормативных актов, противоречащих действующему законодательству.</w:t>
      </w:r>
    </w:p>
    <w:p w:rsidR="00C34023" w:rsidRDefault="00C34023" w:rsidP="0066255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приоритетами и целями муниципальной политики в сфере поддержания правопорядка на территории Валдайского муниципального района являются:</w:t>
      </w:r>
    </w:p>
    <w:p w:rsidR="00C34023" w:rsidRDefault="00C3402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оздоровление криминогенной обстановки на территории Валдайского муниципального района;</w:t>
      </w:r>
    </w:p>
    <w:p w:rsidR="00C34023" w:rsidRDefault="00C3402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роли населения в сфере охраны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вопорядка;</w:t>
      </w:r>
    </w:p>
    <w:p w:rsidR="00C34023" w:rsidRDefault="00C3402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незаконных мигрантов на территории района;</w:t>
      </w:r>
    </w:p>
    <w:p w:rsidR="00C34023" w:rsidRDefault="00C3402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 конфликтов на межконфессиональной и межнациональной почве; </w:t>
      </w:r>
    </w:p>
    <w:p w:rsidR="00C34023" w:rsidRDefault="00C3402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актов терроризма и экстремизма на территории района; </w:t>
      </w:r>
    </w:p>
    <w:p w:rsidR="00C34023" w:rsidRDefault="00C3402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правонарушений, предупреждение правонарушений в среде несовершеннолетних и молодежи, в том числе находящихся в трудной жизненной ситуации; </w:t>
      </w:r>
    </w:p>
    <w:p w:rsidR="00C34023" w:rsidRDefault="00C3402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доверия населения к правоохранительным органам и органам местного самоуправления; </w:t>
      </w:r>
    </w:p>
    <w:p w:rsidR="00C34023" w:rsidRDefault="00C34023" w:rsidP="0066255C">
      <w:pPr>
        <w:ind w:firstLine="708"/>
        <w:jc w:val="both"/>
        <w:rPr>
          <w:sz w:val="28"/>
          <w:szCs w:val="28"/>
        </w:rPr>
      </w:pPr>
      <w:r>
        <w:rPr>
          <w:sz w:val="28"/>
        </w:rPr>
        <w:t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</w:t>
      </w:r>
    </w:p>
    <w:p w:rsidR="00C34023" w:rsidRDefault="00C34023" w:rsidP="0066255C">
      <w:pPr>
        <w:ind w:firstLine="708"/>
        <w:jc w:val="both"/>
        <w:rPr>
          <w:sz w:val="28"/>
        </w:rPr>
      </w:pPr>
      <w:r>
        <w:rPr>
          <w:sz w:val="28"/>
          <w:szCs w:val="28"/>
        </w:rPr>
        <w:t>противодействие наркомании и зависимости от других психоактивных веществ в Валдайском муниципальном районе</w:t>
      </w:r>
      <w:r>
        <w:rPr>
          <w:sz w:val="28"/>
        </w:rPr>
        <w:t>;</w:t>
      </w:r>
    </w:p>
    <w:p w:rsidR="00C34023" w:rsidRDefault="00C34023" w:rsidP="0066255C">
      <w:pPr>
        <w:ind w:firstLine="708"/>
        <w:jc w:val="both"/>
        <w:rPr>
          <w:sz w:val="28"/>
        </w:rPr>
      </w:pPr>
      <w:r>
        <w:rPr>
          <w:sz w:val="28"/>
        </w:rPr>
        <w:t>развитие системы профилактики немедицинского потребления нарк</w:t>
      </w:r>
      <w:r>
        <w:rPr>
          <w:sz w:val="28"/>
        </w:rPr>
        <w:t>о</w:t>
      </w:r>
      <w:r>
        <w:rPr>
          <w:sz w:val="28"/>
        </w:rPr>
        <w:t>тиков, злоупотребления другими ПАВ;</w:t>
      </w:r>
    </w:p>
    <w:p w:rsidR="00C34023" w:rsidRDefault="00C3402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коррупции в Валдайском муниципальном районе;</w:t>
      </w:r>
    </w:p>
    <w:p w:rsidR="00C34023" w:rsidRDefault="00C3402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обществе нетерпимости к коррупционному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создание условий для обеспечения участия институтов гражданского общества в противодействии коррупции, обеспечение доступа граждан к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о деятельности органов местного самоуправления района.</w:t>
      </w:r>
    </w:p>
    <w:p w:rsidR="00C34023" w:rsidRDefault="00C3402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граммы:</w:t>
      </w:r>
    </w:p>
    <w:p w:rsidR="00C34023" w:rsidRDefault="00C3402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проявление актов терроризма и экстремизма;</w:t>
      </w:r>
    </w:p>
    <w:p w:rsidR="00C34023" w:rsidRDefault="00C3402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безнадзорности и правонарушений на территории района;</w:t>
      </w:r>
    </w:p>
    <w:p w:rsidR="00C34023" w:rsidRDefault="00C3402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правовой грамотности населения;</w:t>
      </w:r>
    </w:p>
    <w:p w:rsidR="00C34023" w:rsidRDefault="00C3402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доверия населения к органам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ления;</w:t>
      </w:r>
    </w:p>
    <w:p w:rsidR="00C34023" w:rsidRDefault="00C3402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распространенности наркомании и других зависим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ПАВ;</w:t>
      </w:r>
    </w:p>
    <w:p w:rsidR="00C34023" w:rsidRDefault="00C3402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количества граждан, ведущих здоровый образ жизни.</w:t>
      </w:r>
    </w:p>
    <w:p w:rsidR="00C34023" w:rsidRDefault="00C34023" w:rsidP="0066255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Основные показатели и анализ социальных, финансово-экономических и прочих рисков реализации программы</w:t>
      </w:r>
    </w:p>
    <w:p w:rsidR="00C34023" w:rsidRDefault="00C3402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2014 году на территории Валдайского района был допущен общий рост уровня преступности. Наряду с общим ростом, произошел рост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преступлений, относящихся к категории тяжких и особо тяжких, всего 142 за 2014 год. Несмотря на проводимые ОМВД России по Валдайскому району профилактические мероприятия, привлечение к охране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порядка добровольной народной дружины, в 2014 году не удалось добит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снижения количества преступлений. В связи с этим работу по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ствию правонарушениям стоит продолжать и дальше.</w:t>
      </w:r>
    </w:p>
    <w:p w:rsidR="00C34023" w:rsidRDefault="00C3402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Распространенность наркомании в районе составила на 2015 год 388,9 человека на 100 тыс. человек населения. Превышение данного показателя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храняется, несмотря на сокращение в 2015 году по сравнению с 2014 годом числа пациентов, состоящих на диспансерном наркологическом учете с диа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нозом наркомания: в 2014 году на учете состояло 102 человека, в 2015 году 94, что меньше предыдущего периода. С диагнозом алкоголизм в 2014 году стояло на учете 561 человек, в 2015 году 535 человек. Приведенная наркол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гическая статистика представлена на основании оперативной информации о наркологической ситуации в Валдайском муниципальном районе. Напряже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остается и ситуация в сфере борьбы с незаконным оборотом наркотиков, психотропных веществ и их прекурсоров. С учетом изложенного можно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статировать, что наркотическая и алкогольная ситуация требует продолжение ранее начатой работы, в том числе в рамках программы, с использованием комплексного подхода, направленного на системное противодействие не только наркомании, но и другим видам зависимости от ПАВ, а также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ступности и правонарушениям в сфере незаконного оборота наркотиков. В качестве приоритета программы избрана реализация профилактических мер общественного, административного и немедицинского характера,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на сокращение спроса на наркотики и иные ПАВ путем минимизации угроз, связанных со злоупотреблением наркотиками и другими ПАВ. </w:t>
      </w:r>
    </w:p>
    <w:p w:rsidR="00C34023" w:rsidRDefault="00C34023" w:rsidP="006625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предупреждения и пресечения коррупционных нарушений, требуе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широкий общесоциальный подход, применение не только правовых, но и экономических, политических, организационно-управленческих, культурно-воспитательных и иных мер. Реализация настоящей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даст возможность внедрить систему мониторинга антикоррупцио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мероприятий, позволяющую определять их приоритетные направления, оценивать эффективность и своевременно корректировать проведение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коррупционной политики. Важным элементом муниципальной программы является проверка проектов правовых нормативных актов органов местного самоуправления Валдайского муниципального района на коррупциогенность. Одним из приоритетных направлений муниципальной программы является информирование общества о противодействии коррупции в органах местного самоуправления. </w:t>
      </w:r>
    </w:p>
    <w:p w:rsidR="00C34023" w:rsidRDefault="00C3402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риски: </w:t>
      </w:r>
    </w:p>
    <w:p w:rsidR="00C34023" w:rsidRDefault="00C3402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качества и эффективности мероприятий профилактики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вонарушений, проявлений терроризма и экстремизма на территории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района;</w:t>
      </w:r>
    </w:p>
    <w:p w:rsidR="00C34023" w:rsidRDefault="00C3402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граждан, отрицательно оценивающих деятельность органов местного самоуправления района. Понижение качества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нормативных правовых актов</w:t>
      </w:r>
      <w:r>
        <w:t>;</w:t>
      </w:r>
      <w:r>
        <w:rPr>
          <w:sz w:val="28"/>
          <w:szCs w:val="28"/>
        </w:rPr>
        <w:t xml:space="preserve"> </w:t>
      </w:r>
    </w:p>
    <w:p w:rsidR="00C34023" w:rsidRDefault="00C3402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качества и эффективности мероприятий профилактики нем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дицинского потребления наркотиков, профилактики злоупотребления друг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 ПАВ, </w:t>
      </w:r>
    </w:p>
    <w:p w:rsidR="00C34023" w:rsidRDefault="00C3402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снижения качества лечения и реабилитации лиц, потребляющих 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тики, другие ПАВ, сокращение специализированных наркологических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цинских учреждений и численности врачей психиаторов-наркологов, других специалистов.</w:t>
      </w:r>
    </w:p>
    <w:p w:rsidR="00C34023" w:rsidRDefault="00C34023" w:rsidP="0066255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Механизм управления реализацией муниципальной программы</w:t>
      </w:r>
    </w:p>
    <w:p w:rsidR="00C34023" w:rsidRDefault="00C3402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управления реализацией муниципальной программы отдел правового регулирования как ответственный исполнитель муниципальной программы совместно с соисполнителями до 20 июля текущего года и до 1 марта года, следующего за отчетным, готовит полугодовой и годовой отчеты о ходе реализации муниципальной программы по форме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 5 Порядка принятия решений о разработке муниципальных программ Валдайского муниципального района, их формирования и реализации, 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вержденного постановлением Администрации Валдайского муниципального района от 26.08.2013 №1160 и направляет в комитет экономического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Администрации муниципального района.</w:t>
      </w:r>
    </w:p>
    <w:p w:rsidR="00C34023" w:rsidRDefault="00C34023" w:rsidP="0066255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34023" w:rsidRDefault="00C34023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C34023" w:rsidSect="00157DB0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23" w:rsidRDefault="00C34023">
      <w:r>
        <w:separator/>
      </w:r>
    </w:p>
  </w:endnote>
  <w:endnote w:type="continuationSeparator" w:id="0">
    <w:p w:rsidR="00C34023" w:rsidRDefault="00C34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23" w:rsidRDefault="00C34023">
      <w:r>
        <w:separator/>
      </w:r>
    </w:p>
  </w:footnote>
  <w:footnote w:type="continuationSeparator" w:id="0">
    <w:p w:rsidR="00C34023" w:rsidRDefault="00C34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23" w:rsidRDefault="00C34023" w:rsidP="00D624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4023" w:rsidRDefault="00C340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23" w:rsidRPr="00DC6AFE" w:rsidRDefault="00C34023" w:rsidP="00790F31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C6AFE">
      <w:rPr>
        <w:rStyle w:val="PageNumber"/>
        <w:sz w:val="24"/>
        <w:szCs w:val="24"/>
      </w:rPr>
      <w:fldChar w:fldCharType="begin"/>
    </w:r>
    <w:r w:rsidRPr="00DC6AFE">
      <w:rPr>
        <w:rStyle w:val="PageNumber"/>
        <w:sz w:val="24"/>
        <w:szCs w:val="24"/>
      </w:rPr>
      <w:instrText xml:space="preserve">PAGE  </w:instrText>
    </w:r>
    <w:r w:rsidRPr="00DC6AFE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DC6AFE">
      <w:rPr>
        <w:rStyle w:val="PageNumber"/>
        <w:sz w:val="24"/>
        <w:szCs w:val="24"/>
      </w:rPr>
      <w:fldChar w:fldCharType="end"/>
    </w:r>
  </w:p>
  <w:p w:rsidR="00C34023" w:rsidRDefault="00C34023" w:rsidP="00481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29DE"/>
    <w:rsid w:val="000A457F"/>
    <w:rsid w:val="000A58F2"/>
    <w:rsid w:val="000A668B"/>
    <w:rsid w:val="000A715A"/>
    <w:rsid w:val="000A72C8"/>
    <w:rsid w:val="000B4994"/>
    <w:rsid w:val="000B7AB2"/>
    <w:rsid w:val="000C338B"/>
    <w:rsid w:val="000C4130"/>
    <w:rsid w:val="000D0BF7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1444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2217"/>
    <w:rsid w:val="001D3E5B"/>
    <w:rsid w:val="001D4E70"/>
    <w:rsid w:val="001D6DE2"/>
    <w:rsid w:val="001E0CDD"/>
    <w:rsid w:val="001E1AA9"/>
    <w:rsid w:val="001E223B"/>
    <w:rsid w:val="001E24A0"/>
    <w:rsid w:val="001E4AC1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3250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72A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2A3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1A55"/>
    <w:rsid w:val="003E49DF"/>
    <w:rsid w:val="003E63E8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07936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DAD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0C88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3EFD"/>
    <w:rsid w:val="00556623"/>
    <w:rsid w:val="00556A05"/>
    <w:rsid w:val="00557000"/>
    <w:rsid w:val="00561BDC"/>
    <w:rsid w:val="00563737"/>
    <w:rsid w:val="005639FB"/>
    <w:rsid w:val="005721F1"/>
    <w:rsid w:val="00575972"/>
    <w:rsid w:val="00577AB4"/>
    <w:rsid w:val="00577D46"/>
    <w:rsid w:val="00586A71"/>
    <w:rsid w:val="005870D0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7458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5F0C"/>
    <w:rsid w:val="00600356"/>
    <w:rsid w:val="00603A8F"/>
    <w:rsid w:val="00604F80"/>
    <w:rsid w:val="006070A7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55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02F5"/>
    <w:rsid w:val="006A0F83"/>
    <w:rsid w:val="006A120F"/>
    <w:rsid w:val="006A7467"/>
    <w:rsid w:val="006B0158"/>
    <w:rsid w:val="006B1AD9"/>
    <w:rsid w:val="006B2BCB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07419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A7D29"/>
    <w:rsid w:val="007B1968"/>
    <w:rsid w:val="007B3528"/>
    <w:rsid w:val="007C169E"/>
    <w:rsid w:val="007C63E9"/>
    <w:rsid w:val="007C722C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3D2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7EF"/>
    <w:rsid w:val="00947E11"/>
    <w:rsid w:val="00950FB4"/>
    <w:rsid w:val="0095207B"/>
    <w:rsid w:val="009522F3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3B19"/>
    <w:rsid w:val="009C45B7"/>
    <w:rsid w:val="009C4ADA"/>
    <w:rsid w:val="009C67CC"/>
    <w:rsid w:val="009D21A8"/>
    <w:rsid w:val="009E2486"/>
    <w:rsid w:val="009E6DD3"/>
    <w:rsid w:val="009F02FD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97A7E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333C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29ED"/>
    <w:rsid w:val="00C3324A"/>
    <w:rsid w:val="00C34023"/>
    <w:rsid w:val="00C37343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E7B01"/>
    <w:rsid w:val="00CF09B3"/>
    <w:rsid w:val="00CF0F2D"/>
    <w:rsid w:val="00CF2A2F"/>
    <w:rsid w:val="00CF3CD9"/>
    <w:rsid w:val="00D06B58"/>
    <w:rsid w:val="00D07D5E"/>
    <w:rsid w:val="00D11ABC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75648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27143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2F6D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E1C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58"/>
    <w:rPr>
      <w:sz w:val="20"/>
      <w:szCs w:val="20"/>
    </w:rPr>
  </w:style>
  <w:style w:type="paragraph" w:styleId="Heading1">
    <w:name w:val="heading 1"/>
    <w:aliases w:val="H1,Заголовок 1 Знак Знак Знак Знак"/>
    <w:basedOn w:val="Normal"/>
    <w:next w:val="Normal"/>
    <w:link w:val="Heading1Char"/>
    <w:uiPriority w:val="99"/>
    <w:qFormat/>
    <w:rsid w:val="005D745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7458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7458"/>
    <w:pPr>
      <w:keepNext/>
      <w:jc w:val="center"/>
      <w:outlineLvl w:val="2"/>
    </w:pPr>
    <w:rPr>
      <w:color w:val="00000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7458"/>
    <w:pPr>
      <w:keepNext/>
      <w:spacing w:line="240" w:lineRule="exact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7458"/>
    <w:pPr>
      <w:keepNext/>
      <w:jc w:val="both"/>
      <w:outlineLvl w:val="4"/>
    </w:pPr>
    <w:rPr>
      <w:b/>
      <w:color w:val="00000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7458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 Знак Знак Знак Char"/>
    <w:basedOn w:val="DefaultParagraphFont"/>
    <w:link w:val="Heading1"/>
    <w:uiPriority w:val="99"/>
    <w:locked/>
    <w:rsid w:val="006070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70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70A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70A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70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70A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5D74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70A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D7458"/>
    <w:rPr>
      <w:rFonts w:cs="Times New Roman"/>
    </w:rPr>
  </w:style>
  <w:style w:type="paragraph" w:styleId="BodyText">
    <w:name w:val="Body Text"/>
    <w:aliases w:val="бпОсновной текст,Body Text Char,body text,Основной текст1,Основной текст Знак"/>
    <w:basedOn w:val="Normal"/>
    <w:link w:val="BodyTextChar1"/>
    <w:uiPriority w:val="99"/>
    <w:rsid w:val="005D7458"/>
    <w:pPr>
      <w:jc w:val="both"/>
    </w:pPr>
    <w:rPr>
      <w:color w:val="000000"/>
      <w:sz w:val="28"/>
    </w:rPr>
  </w:style>
  <w:style w:type="character" w:customStyle="1" w:styleId="BodyTextChar1">
    <w:name w:val="Body Text Char1"/>
    <w:aliases w:val="бпОсновной текст Char,Body Text Char Char,body text Char,Основной текст1 Char,Основной текст Знак Char"/>
    <w:basedOn w:val="DefaultParagraphFont"/>
    <w:link w:val="BodyText"/>
    <w:uiPriority w:val="99"/>
    <w:semiHidden/>
    <w:locked/>
    <w:rsid w:val="006070A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D7458"/>
    <w:pPr>
      <w:ind w:firstLine="720"/>
    </w:pPr>
    <w:rPr>
      <w:rFonts w:ascii="Bookman Old Style" w:hAnsi="Bookman Old Style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70A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D7458"/>
    <w:pPr>
      <w:jc w:val="both"/>
    </w:pPr>
    <w:rPr>
      <w:rFonts w:ascii="Bookman Old Style" w:hAnsi="Bookman Old Style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0A7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070A7"/>
    <w:rPr>
      <w:rFonts w:cs="Times New Roman"/>
      <w:sz w:val="2"/>
    </w:rPr>
  </w:style>
  <w:style w:type="table" w:styleId="TableGrid">
    <w:name w:val="Table Grid"/>
    <w:basedOn w:val="TableNormal"/>
    <w:uiPriority w:val="99"/>
    <w:rsid w:val="00CC4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70A7"/>
    <w:rPr>
      <w:rFonts w:cs="Times New Roman"/>
      <w:sz w:val="20"/>
      <w:szCs w:val="20"/>
    </w:rPr>
  </w:style>
  <w:style w:type="character" w:customStyle="1" w:styleId="a">
    <w:name w:val="Центр Знак"/>
    <w:basedOn w:val="DefaultParagraphFont"/>
    <w:link w:val="a0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0">
    <w:name w:val="Центр"/>
    <w:basedOn w:val="Normal"/>
    <w:link w:val="a"/>
    <w:uiPriority w:val="99"/>
    <w:rsid w:val="00BD4275"/>
    <w:pPr>
      <w:jc w:val="center"/>
    </w:pPr>
    <w:rPr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07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BD427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D42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070A7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070A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Strong">
    <w:name w:val="Strong"/>
    <w:basedOn w:val="DefaultParagraphFont"/>
    <w:uiPriority w:val="99"/>
    <w:qFormat/>
    <w:rsid w:val="005C06A1"/>
    <w:rPr>
      <w:rFonts w:cs="Times New Roman"/>
      <w:b/>
      <w:bCs/>
    </w:rPr>
  </w:style>
  <w:style w:type="paragraph" w:styleId="NoSpacing">
    <w:name w:val="No Spacing"/>
    <w:uiPriority w:val="99"/>
    <w:qFormat/>
    <w:rsid w:val="00E76E97"/>
    <w:rPr>
      <w:sz w:val="24"/>
      <w:szCs w:val="24"/>
    </w:rPr>
  </w:style>
  <w:style w:type="paragraph" w:styleId="List">
    <w:name w:val="List"/>
    <w:basedOn w:val="Normal"/>
    <w:uiPriority w:val="99"/>
    <w:rsid w:val="00607DD7"/>
    <w:pPr>
      <w:ind w:left="283" w:hanging="283"/>
    </w:pPr>
    <w:rPr>
      <w:sz w:val="24"/>
      <w:szCs w:val="24"/>
    </w:rPr>
  </w:style>
  <w:style w:type="paragraph" w:styleId="List2">
    <w:name w:val="List 2"/>
    <w:basedOn w:val="Normal"/>
    <w:uiPriority w:val="99"/>
    <w:rsid w:val="00607DD7"/>
    <w:pPr>
      <w:ind w:left="566" w:hanging="283"/>
    </w:pPr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locked/>
    <w:rsid w:val="006070A7"/>
  </w:style>
  <w:style w:type="paragraph" w:styleId="BodyTextFirstIndent2">
    <w:name w:val="Body Text First Indent 2"/>
    <w:basedOn w:val="BodyTextIndent"/>
    <w:link w:val="BodyTextFirstIndent2Char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070A7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260B69"/>
    <w:pPr>
      <w:suppressLineNumbers/>
      <w:suppressAutoHyphens/>
    </w:pPr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070A7"/>
    <w:rPr>
      <w:rFonts w:cs="Times New Roman"/>
      <w:sz w:val="16"/>
      <w:szCs w:val="16"/>
    </w:rPr>
  </w:style>
  <w:style w:type="paragraph" w:customStyle="1" w:styleId="a2">
    <w:name w:val="Знак"/>
    <w:basedOn w:val="Normal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707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10</Pages>
  <Words>3021</Words>
  <Characters>17222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Ширяев В. И.</cp:lastModifiedBy>
  <cp:revision>5</cp:revision>
  <cp:lastPrinted>2018-12-10T07:37:00Z</cp:lastPrinted>
  <dcterms:created xsi:type="dcterms:W3CDTF">2017-11-27T12:07:00Z</dcterms:created>
  <dcterms:modified xsi:type="dcterms:W3CDTF">2018-12-10T07:44:00Z</dcterms:modified>
</cp:coreProperties>
</file>