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DA2C71" w:rsidP="00870A86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4C2383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870A86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870A86">
      <w:pPr>
        <w:jc w:val="center"/>
        <w:rPr>
          <w:sz w:val="28"/>
          <w:szCs w:val="28"/>
        </w:rPr>
      </w:pPr>
    </w:p>
    <w:p w:rsidR="0002731B" w:rsidRDefault="0002731B" w:rsidP="0002731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Методик расчёта</w:t>
      </w:r>
    </w:p>
    <w:p w:rsidR="0002731B" w:rsidRDefault="0002731B" w:rsidP="0002731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распределения субвенций между бюджетами</w:t>
      </w:r>
    </w:p>
    <w:p w:rsidR="0002731B" w:rsidRDefault="0002731B" w:rsidP="0002731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поселений и расчёта дотаций на выравнивание</w:t>
      </w:r>
    </w:p>
    <w:p w:rsidR="0002731B" w:rsidRDefault="0002731B" w:rsidP="0002731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обеспеченности поселений</w:t>
      </w:r>
    </w:p>
    <w:p w:rsidR="0046040E" w:rsidRDefault="0046040E" w:rsidP="0002731B">
      <w:pPr>
        <w:spacing w:line="240" w:lineRule="exact"/>
        <w:jc w:val="center"/>
        <w:rPr>
          <w:sz w:val="28"/>
          <w:szCs w:val="28"/>
        </w:rPr>
      </w:pPr>
    </w:p>
    <w:p w:rsidR="0002731B" w:rsidRPr="00870A86" w:rsidRDefault="0002731B" w:rsidP="0002731B">
      <w:pPr>
        <w:spacing w:line="240" w:lineRule="exact"/>
        <w:jc w:val="center"/>
        <w:rPr>
          <w:sz w:val="28"/>
          <w:szCs w:val="28"/>
        </w:rPr>
      </w:pPr>
    </w:p>
    <w:p w:rsidR="0046040E" w:rsidRDefault="0046040E" w:rsidP="0046040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Валдайского муниципального района «24» декабря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да</w:t>
      </w:r>
      <w:r w:rsidR="008B0898">
        <w:rPr>
          <w:b/>
          <w:sz w:val="28"/>
          <w:szCs w:val="28"/>
        </w:rPr>
        <w:t>.</w:t>
      </w:r>
    </w:p>
    <w:p w:rsidR="00EB7FDE" w:rsidRPr="00EB7FDE" w:rsidRDefault="00EB7FDE" w:rsidP="0046040E">
      <w:pPr>
        <w:ind w:firstLine="709"/>
        <w:jc w:val="both"/>
      </w:pPr>
    </w:p>
    <w:p w:rsidR="0002731B" w:rsidRPr="0002731B" w:rsidRDefault="0022546B" w:rsidP="0002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</w:t>
      </w:r>
      <w:r w:rsidR="0002731B" w:rsidRPr="0002731B">
        <w:rPr>
          <w:sz w:val="28"/>
          <w:szCs w:val="28"/>
        </w:rPr>
        <w:t>й 184.2. Бюджетного кодекса Российской Фед</w:t>
      </w:r>
      <w:r w:rsidR="0002731B" w:rsidRPr="0002731B">
        <w:rPr>
          <w:sz w:val="28"/>
          <w:szCs w:val="28"/>
        </w:rPr>
        <w:t>е</w:t>
      </w:r>
      <w:r w:rsidR="0002731B" w:rsidRPr="0002731B">
        <w:rPr>
          <w:sz w:val="28"/>
          <w:szCs w:val="28"/>
        </w:rPr>
        <w:t xml:space="preserve">рации, Дума Валдайского муниципального района </w:t>
      </w:r>
      <w:r w:rsidR="0002731B" w:rsidRPr="0002731B">
        <w:rPr>
          <w:b/>
          <w:sz w:val="28"/>
          <w:szCs w:val="28"/>
        </w:rPr>
        <w:t>РЕШИЛА:</w:t>
      </w:r>
    </w:p>
    <w:p w:rsidR="0002731B" w:rsidRPr="0002731B" w:rsidRDefault="0002731B" w:rsidP="0002731B">
      <w:pPr>
        <w:ind w:firstLine="709"/>
        <w:jc w:val="both"/>
        <w:rPr>
          <w:sz w:val="28"/>
          <w:szCs w:val="28"/>
        </w:rPr>
      </w:pPr>
      <w:r w:rsidRPr="0002731B">
        <w:rPr>
          <w:sz w:val="28"/>
          <w:szCs w:val="28"/>
        </w:rPr>
        <w:t>1. Утвердить прилагаемую Методику расчёта распределения субвенции между бюд</w:t>
      </w:r>
      <w:r>
        <w:rPr>
          <w:sz w:val="28"/>
          <w:szCs w:val="28"/>
        </w:rPr>
        <w:t xml:space="preserve">жетами поселений из бюджета </w:t>
      </w:r>
      <w:r w:rsidRPr="0002731B">
        <w:rPr>
          <w:sz w:val="28"/>
          <w:szCs w:val="28"/>
        </w:rPr>
        <w:t>муниципального района на осущес</w:t>
      </w:r>
      <w:r w:rsidRPr="0002731B">
        <w:rPr>
          <w:sz w:val="28"/>
          <w:szCs w:val="28"/>
        </w:rPr>
        <w:t>т</w:t>
      </w:r>
      <w:r w:rsidRPr="0002731B">
        <w:rPr>
          <w:sz w:val="28"/>
          <w:szCs w:val="28"/>
        </w:rPr>
        <w:t>вление государственных полномочий по первичному воинскому учёту на территориях, где о</w:t>
      </w:r>
      <w:r w:rsidRPr="0002731B">
        <w:rPr>
          <w:sz w:val="28"/>
          <w:szCs w:val="28"/>
        </w:rPr>
        <w:t>т</w:t>
      </w:r>
      <w:r w:rsidRPr="0002731B">
        <w:rPr>
          <w:sz w:val="28"/>
          <w:szCs w:val="28"/>
        </w:rPr>
        <w:t>сутствуют военные комиссариаты.</w:t>
      </w:r>
    </w:p>
    <w:p w:rsidR="0002731B" w:rsidRPr="0002731B" w:rsidRDefault="0002731B" w:rsidP="0002731B">
      <w:pPr>
        <w:ind w:firstLine="709"/>
        <w:jc w:val="both"/>
        <w:rPr>
          <w:sz w:val="28"/>
          <w:szCs w:val="28"/>
        </w:rPr>
      </w:pPr>
      <w:r w:rsidRPr="0002731B">
        <w:rPr>
          <w:sz w:val="28"/>
          <w:szCs w:val="28"/>
        </w:rPr>
        <w:t>2. Утвердить прилагаемую Методику расчёта распределения субвенции между бюдже</w:t>
      </w:r>
      <w:r>
        <w:rPr>
          <w:sz w:val="28"/>
          <w:szCs w:val="28"/>
        </w:rPr>
        <w:t>тами поселений из бюджета</w:t>
      </w:r>
      <w:r w:rsidRPr="0002731B">
        <w:rPr>
          <w:sz w:val="28"/>
          <w:szCs w:val="28"/>
        </w:rPr>
        <w:t xml:space="preserve"> муниципального района по определению перечня должностных лиц, уполномоченных составлять проток</w:t>
      </w:r>
      <w:r w:rsidRPr="0002731B">
        <w:rPr>
          <w:sz w:val="28"/>
          <w:szCs w:val="28"/>
        </w:rPr>
        <w:t>о</w:t>
      </w:r>
      <w:r w:rsidRPr="0002731B">
        <w:rPr>
          <w:sz w:val="28"/>
          <w:szCs w:val="28"/>
        </w:rPr>
        <w:t>лы об административных правонарушениях, предусмотренных соответствующими статьями областного закона "Об административных правонарушениях".</w:t>
      </w:r>
    </w:p>
    <w:p w:rsidR="0002731B" w:rsidRPr="0002731B" w:rsidRDefault="0002731B" w:rsidP="0002731B">
      <w:pPr>
        <w:ind w:firstLine="709"/>
        <w:jc w:val="both"/>
        <w:rPr>
          <w:sz w:val="28"/>
          <w:szCs w:val="28"/>
        </w:rPr>
      </w:pPr>
      <w:r w:rsidRPr="0002731B">
        <w:rPr>
          <w:sz w:val="28"/>
          <w:szCs w:val="28"/>
        </w:rPr>
        <w:t>3. Утвердить прилагаемую Методику расчёта распределения субвенции между поселениями из бюджета муниципального района на возмещение затрат по содержанию штатных единиц, осуществляющих переданные отдельные госуда</w:t>
      </w:r>
      <w:r w:rsidRPr="0002731B">
        <w:rPr>
          <w:sz w:val="28"/>
          <w:szCs w:val="28"/>
        </w:rPr>
        <w:t>р</w:t>
      </w:r>
      <w:r w:rsidRPr="0002731B">
        <w:rPr>
          <w:sz w:val="28"/>
          <w:szCs w:val="28"/>
        </w:rPr>
        <w:t xml:space="preserve">ственные полномочия области по организации деятельности по сбору (в том числе раздельному сбору), транспортированию, обработке, утилизации, обезвреживанию и захоронению твёрдых коммунальных отходов. </w:t>
      </w:r>
    </w:p>
    <w:p w:rsidR="0002731B" w:rsidRPr="0002731B" w:rsidRDefault="0002731B" w:rsidP="0002731B">
      <w:pPr>
        <w:ind w:firstLine="709"/>
        <w:jc w:val="both"/>
        <w:rPr>
          <w:sz w:val="28"/>
          <w:szCs w:val="28"/>
        </w:rPr>
      </w:pPr>
      <w:r w:rsidRPr="0002731B">
        <w:rPr>
          <w:sz w:val="28"/>
          <w:szCs w:val="28"/>
        </w:rPr>
        <w:t xml:space="preserve">4. Утвердить </w:t>
      </w:r>
      <w:r w:rsidR="003B58D2">
        <w:rPr>
          <w:sz w:val="28"/>
          <w:szCs w:val="28"/>
        </w:rPr>
        <w:t>М</w:t>
      </w:r>
      <w:r w:rsidRPr="0002731B">
        <w:rPr>
          <w:sz w:val="28"/>
          <w:szCs w:val="28"/>
        </w:rPr>
        <w:t>етодику расчёта дотаций на выравнивание бюджетной обеспеченности поселений.</w:t>
      </w:r>
    </w:p>
    <w:p w:rsidR="003B58D2" w:rsidRDefault="003B58D2" w:rsidP="0002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 01 января 2022 года.</w:t>
      </w:r>
    </w:p>
    <w:p w:rsidR="0002731B" w:rsidRPr="0002731B" w:rsidRDefault="003B58D2" w:rsidP="00027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2731B" w:rsidRPr="0002731B">
        <w:rPr>
          <w:sz w:val="28"/>
          <w:szCs w:val="28"/>
        </w:rPr>
        <w:t xml:space="preserve">. Опубликовать решение в бюллетене "Валдайский </w:t>
      </w:r>
      <w:r w:rsidR="009A6D58">
        <w:rPr>
          <w:sz w:val="28"/>
          <w:szCs w:val="28"/>
        </w:rPr>
        <w:t>В</w:t>
      </w:r>
      <w:r w:rsidR="0002731B" w:rsidRPr="0002731B">
        <w:rPr>
          <w:sz w:val="28"/>
          <w:szCs w:val="28"/>
        </w:rPr>
        <w:t>естник" и разме</w:t>
      </w:r>
      <w:r w:rsidR="0002731B" w:rsidRPr="0002731B">
        <w:rPr>
          <w:sz w:val="28"/>
          <w:szCs w:val="28"/>
        </w:rPr>
        <w:t>с</w:t>
      </w:r>
      <w:r w:rsidR="0002731B" w:rsidRPr="0002731B">
        <w:rPr>
          <w:sz w:val="28"/>
          <w:szCs w:val="28"/>
        </w:rPr>
        <w:t>тить на официальном сайте Администрации Валдайского муниципального ра</w:t>
      </w:r>
      <w:r w:rsidR="0002731B" w:rsidRPr="0002731B">
        <w:rPr>
          <w:sz w:val="28"/>
          <w:szCs w:val="28"/>
        </w:rPr>
        <w:t>й</w:t>
      </w:r>
      <w:r w:rsidR="0002731B" w:rsidRPr="0002731B">
        <w:rPr>
          <w:sz w:val="28"/>
          <w:szCs w:val="28"/>
        </w:rPr>
        <w:t>она в сети "Интернет".</w:t>
      </w:r>
    </w:p>
    <w:p w:rsidR="00022CD9" w:rsidRDefault="00022CD9" w:rsidP="0002731B">
      <w:pPr>
        <w:spacing w:line="240" w:lineRule="exact"/>
        <w:ind w:firstLine="709"/>
        <w:jc w:val="both"/>
        <w:rPr>
          <w:sz w:val="28"/>
          <w:szCs w:val="28"/>
        </w:rPr>
      </w:pPr>
    </w:p>
    <w:p w:rsidR="0002731B" w:rsidRPr="0002731B" w:rsidRDefault="0002731B" w:rsidP="0002731B">
      <w:pPr>
        <w:spacing w:line="240" w:lineRule="exact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022CD9" w:rsidTr="00555D1C">
        <w:tc>
          <w:tcPr>
            <w:tcW w:w="2500" w:type="pct"/>
          </w:tcPr>
          <w:p w:rsidR="003A2115" w:rsidRDefault="003A2115" w:rsidP="003A211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</w:t>
            </w:r>
          </w:p>
          <w:p w:rsidR="003A2115" w:rsidRDefault="003A2115" w:rsidP="003A211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администрации муниципального</w:t>
            </w:r>
          </w:p>
          <w:p w:rsidR="003A2115" w:rsidRDefault="003A2115" w:rsidP="003A211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3A2115" w:rsidRDefault="003A2115" w:rsidP="003A211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A2115" w:rsidRDefault="003A2115" w:rsidP="003A211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Е.А.Гаврилов</w:t>
            </w:r>
          </w:p>
          <w:p w:rsidR="00AD0692" w:rsidRDefault="00AD0692" w:rsidP="00117275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11727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6040E">
              <w:rPr>
                <w:color w:val="000000"/>
                <w:sz w:val="28"/>
                <w:szCs w:val="28"/>
              </w:rPr>
              <w:t>24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46040E">
              <w:rPr>
                <w:color w:val="000000"/>
                <w:sz w:val="28"/>
                <w:szCs w:val="28"/>
              </w:rPr>
              <w:t>декабря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1172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FD1AB6">
              <w:rPr>
                <w:color w:val="000000"/>
                <w:sz w:val="28"/>
                <w:szCs w:val="28"/>
              </w:rPr>
              <w:t xml:space="preserve"> 98</w:t>
            </w:r>
          </w:p>
        </w:tc>
        <w:tc>
          <w:tcPr>
            <w:tcW w:w="2500" w:type="pct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A2115" w:rsidRDefault="003A211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3A2115">
      <w:pPr>
        <w:rPr>
          <w:color w:val="000000"/>
        </w:rPr>
      </w:pPr>
    </w:p>
    <w:sectPr w:rsidR="007D5315" w:rsidSect="00DA2C71">
      <w:headerReference w:type="even" r:id="rId8"/>
      <w:headerReference w:type="default" r:id="rId9"/>
      <w:pgSz w:w="11906" w:h="16838"/>
      <w:pgMar w:top="851" w:right="567" w:bottom="0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5CB" w:rsidRDefault="003845CB">
      <w:r>
        <w:separator/>
      </w:r>
    </w:p>
  </w:endnote>
  <w:endnote w:type="continuationSeparator" w:id="0">
    <w:p w:rsidR="003845CB" w:rsidRDefault="0038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5CB" w:rsidRDefault="003845CB">
      <w:r>
        <w:separator/>
      </w:r>
    </w:p>
  </w:footnote>
  <w:footnote w:type="continuationSeparator" w:id="0">
    <w:p w:rsidR="003845CB" w:rsidRDefault="0038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75" w:rsidRDefault="00117275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7275" w:rsidRDefault="0011727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275" w:rsidRPr="001F052F" w:rsidRDefault="00117275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DA2C71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117275" w:rsidRDefault="00117275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2731B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75D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17275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17485"/>
    <w:rsid w:val="00220D36"/>
    <w:rsid w:val="00220F85"/>
    <w:rsid w:val="0022546B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0A2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07BC"/>
    <w:rsid w:val="00374843"/>
    <w:rsid w:val="0037679A"/>
    <w:rsid w:val="003776D6"/>
    <w:rsid w:val="00380FED"/>
    <w:rsid w:val="00381EAE"/>
    <w:rsid w:val="003845CB"/>
    <w:rsid w:val="003A2115"/>
    <w:rsid w:val="003A4B5A"/>
    <w:rsid w:val="003A4D19"/>
    <w:rsid w:val="003A6CF1"/>
    <w:rsid w:val="003B3ECF"/>
    <w:rsid w:val="003B58D2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5E8"/>
    <w:rsid w:val="003F0E54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040E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0AC3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67BE"/>
    <w:rsid w:val="00547B6B"/>
    <w:rsid w:val="00551135"/>
    <w:rsid w:val="005515A4"/>
    <w:rsid w:val="00552D92"/>
    <w:rsid w:val="00555D1C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3CF2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235C"/>
    <w:rsid w:val="006E5A14"/>
    <w:rsid w:val="006E73B6"/>
    <w:rsid w:val="006E7BBA"/>
    <w:rsid w:val="006F1D31"/>
    <w:rsid w:val="006F30E7"/>
    <w:rsid w:val="006F3F25"/>
    <w:rsid w:val="006F4D63"/>
    <w:rsid w:val="006F586B"/>
    <w:rsid w:val="006F58FA"/>
    <w:rsid w:val="00704526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0A86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0898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D7C53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014A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A6D58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56E5D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0692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67A"/>
    <w:rsid w:val="00C0387E"/>
    <w:rsid w:val="00C077FC"/>
    <w:rsid w:val="00C10A67"/>
    <w:rsid w:val="00C14BAA"/>
    <w:rsid w:val="00C15B47"/>
    <w:rsid w:val="00C20F16"/>
    <w:rsid w:val="00C21458"/>
    <w:rsid w:val="00C261F1"/>
    <w:rsid w:val="00C27598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2C71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015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B7FDE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1D1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1AB6"/>
    <w:rsid w:val="00FD312E"/>
    <w:rsid w:val="00FE12CE"/>
    <w:rsid w:val="00FE175F"/>
    <w:rsid w:val="00FE32CD"/>
    <w:rsid w:val="00FE4039"/>
    <w:rsid w:val="00FE66EF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66303B1-5F04-4A30-A8E0-4783CBC8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Название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paragraph" w:customStyle="1" w:styleId="mte">
    <w:name w:val="mte"/>
    <w:basedOn w:val="a"/>
    <w:rsid w:val="0046040E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4604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1773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2018-05-18T12:39:00Z</cp:lastPrinted>
  <dcterms:created xsi:type="dcterms:W3CDTF">2021-12-24T13:30:00Z</dcterms:created>
  <dcterms:modified xsi:type="dcterms:W3CDTF">2021-12-24T13:30:00Z</dcterms:modified>
</cp:coreProperties>
</file>