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D7F8F">
        <w:rPr>
          <w:color w:val="000000"/>
          <w:sz w:val="28"/>
        </w:rPr>
        <w:t>27.01.2016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  <w:r w:rsidR="002D7F8F">
        <w:rPr>
          <w:color w:val="000000"/>
          <w:sz w:val="28"/>
        </w:rPr>
        <w:t>112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2D7F8F" w:rsidRDefault="002D7F8F" w:rsidP="002D7F8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изменений в административный регламент</w:t>
      </w:r>
      <w:r>
        <w:rPr>
          <w:b/>
          <w:bCs/>
          <w:sz w:val="28"/>
          <w:szCs w:val="28"/>
        </w:rPr>
        <w:t xml:space="preserve"> </w:t>
      </w:r>
    </w:p>
    <w:p w:rsidR="002D7F8F" w:rsidRDefault="002D7F8F" w:rsidP="002D7F8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государственной услуги «Обеспечение </w:t>
      </w:r>
    </w:p>
    <w:p w:rsidR="002D7F8F" w:rsidRDefault="002D7F8F" w:rsidP="002D7F8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жилыми помещениями детей-сирот и детей, оставшихся </w:t>
      </w:r>
    </w:p>
    <w:p w:rsidR="002D7F8F" w:rsidRDefault="002D7F8F" w:rsidP="002D7F8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 попечения родителей, а также лиц из числа детей-сирот </w:t>
      </w:r>
    </w:p>
    <w:p w:rsidR="002D7F8F" w:rsidRDefault="002D7F8F" w:rsidP="002D7F8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детей, оставшихся без попечения родителей»</w:t>
      </w:r>
    </w:p>
    <w:p w:rsidR="002D7F8F" w:rsidRDefault="002D7F8F" w:rsidP="002D7F8F">
      <w:pPr>
        <w:jc w:val="center"/>
        <w:rPr>
          <w:b/>
          <w:bCs/>
          <w:sz w:val="28"/>
          <w:szCs w:val="28"/>
        </w:rPr>
      </w:pPr>
    </w:p>
    <w:p w:rsidR="002D7F8F" w:rsidRDefault="002D7F8F" w:rsidP="002D7F8F">
      <w:pPr>
        <w:jc w:val="center"/>
        <w:rPr>
          <w:b/>
          <w:bCs/>
          <w:sz w:val="28"/>
          <w:szCs w:val="28"/>
        </w:rPr>
      </w:pP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государственной услуги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утвержденный постановлением Администрации Валдайского муниципального района от 06.08.2014 № 1535: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подпункт 3) пункта 1.2.1 в редакции: 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«3) законные представители детей-сирот либо их представители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90 календарных дней со дня достижения детьми возраста 14 лет или возникновения после достижения детьми возраста 14 лет оснований для предоставления жилых помещений для детей-сирот, лиц из числа детей-сирот;»;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1.2.1 подпунктами 4), 5)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«4) дети-сироты, объявленные полностью дееспособными (эмансип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рованными), либо их представители;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лица из числа детей-сирот либо их представители, в случае если они не были включены в список соответственно до приобретения ими полной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еспособности до достижения совершеннолетия либо до достижения ими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раста 18 лет или не реализовали принадлежащее им право на обеспечение жилыми помещениями в соответствии со статьей 11 </w:t>
      </w:r>
      <w:hyperlink r:id="rId8" w:history="1">
        <w:r w:rsidRPr="002D7F8F">
          <w:rPr>
            <w:rStyle w:val="af"/>
            <w:color w:val="000000"/>
            <w:sz w:val="28"/>
            <w:szCs w:val="28"/>
            <w:u w:val="none"/>
          </w:rPr>
          <w:t>областного закона от 05.09.2014 N 618-ОЗ</w:t>
        </w:r>
      </w:hyperlink>
      <w:r>
        <w:rPr>
          <w:color w:val="000000"/>
          <w:sz w:val="28"/>
          <w:szCs w:val="28"/>
        </w:rPr>
        <w:t xml:space="preserve"> до 1 января 2013 года.»;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1.2.2. пунктом 3) следующего содержания: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«3) от имени подопечного если он выступает законным представителем детей-сирот либо их представителей в течение 90 календарных дней со дня достижения детьми возраста 14 лет или возникновения после достижения детьми возраста 14 лет оснований для предоставления жилых помещений для детей-сирот, лиц из числа детей-сирот.»;</w:t>
      </w:r>
    </w:p>
    <w:p w:rsidR="002D7F8F" w:rsidRDefault="002D7F8F" w:rsidP="002D7F8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1.3 в редакции:</w:t>
      </w:r>
    </w:p>
    <w:p w:rsidR="002D7F8F" w:rsidRDefault="002D7F8F" w:rsidP="002D7F8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«1.3. Требования к порядку информирования о предоставлении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</w:t>
      </w:r>
    </w:p>
    <w:p w:rsidR="002D7F8F" w:rsidRDefault="002D7F8F" w:rsidP="002D7F8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Услуга предоставляется комитетом жилищно-коммунального и дорожного хозяйства Администрации  муниципального района (</w:t>
      </w:r>
      <w:r>
        <w:rPr>
          <w:rFonts w:eastAsia="A"/>
          <w:sz w:val="28"/>
          <w:szCs w:val="28"/>
        </w:rPr>
        <w:t>далее ком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тет)</w:t>
      </w:r>
      <w:r>
        <w:rPr>
          <w:sz w:val="28"/>
          <w:szCs w:val="28"/>
        </w:rPr>
        <w:t>.</w:t>
      </w:r>
    </w:p>
    <w:p w:rsidR="002D7F8F" w:rsidRDefault="002D7F8F" w:rsidP="002D7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Место нахождения комитета: </w:t>
      </w:r>
      <w:r>
        <w:rPr>
          <w:spacing w:val="-1"/>
          <w:sz w:val="28"/>
          <w:szCs w:val="28"/>
        </w:rPr>
        <w:t xml:space="preserve">г.Валдай </w:t>
      </w:r>
      <w:r>
        <w:rPr>
          <w:sz w:val="28"/>
          <w:szCs w:val="28"/>
        </w:rPr>
        <w:t>Новгородской области, Комсомольский пр., 19/21.</w:t>
      </w:r>
    </w:p>
    <w:p w:rsidR="002D7F8F" w:rsidRDefault="002D7F8F" w:rsidP="002D7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Почтовый адрес:175400,Новгородская область, г. Валдай, пр. Комс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мольский  19/21.</w:t>
      </w:r>
    </w:p>
    <w:p w:rsidR="002D7F8F" w:rsidRDefault="002D7F8F" w:rsidP="002D7F8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График (режим) приема заинтересованных лиц по вопросам предоставления государственной услуги должностными лицами комитета:</w:t>
      </w:r>
    </w:p>
    <w:p w:rsidR="002D7F8F" w:rsidRDefault="002D7F8F" w:rsidP="002D7F8F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</w:rPr>
      </w:pPr>
      <w:r>
        <w:rPr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понедельник – пятница: с 8.00 до 17.00;</w:t>
      </w:r>
    </w:p>
    <w:p w:rsidR="002D7F8F" w:rsidRDefault="002D7F8F" w:rsidP="002D7F8F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2D7F8F" w:rsidRDefault="002D7F8F" w:rsidP="002D7F8F">
      <w:pPr>
        <w:shd w:val="clear" w:color="auto" w:fill="FFFFFF"/>
        <w:tabs>
          <w:tab w:val="left" w:pos="709"/>
        </w:tabs>
        <w:jc w:val="both"/>
      </w:pPr>
      <w:r>
        <w:rPr>
          <w:rStyle w:val="FontStyle40"/>
          <w:sz w:val="28"/>
          <w:szCs w:val="28"/>
        </w:rPr>
        <w:t>суббота, воскресенье – выходной.</w:t>
      </w:r>
    </w:p>
    <w:p w:rsidR="002D7F8F" w:rsidRDefault="002D7F8F" w:rsidP="002D7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Справочные телефоны комитета:</w:t>
      </w:r>
    </w:p>
    <w:p w:rsidR="002D7F8F" w:rsidRDefault="002D7F8F" w:rsidP="002D7F8F">
      <w:pPr>
        <w:jc w:val="both"/>
        <w:rPr>
          <w:rFonts w:eastAsia="A"/>
          <w:spacing w:val="-1"/>
          <w:sz w:val="28"/>
          <w:szCs w:val="28"/>
        </w:rPr>
      </w:pPr>
      <w:r>
        <w:rPr>
          <w:sz w:val="28"/>
          <w:szCs w:val="28"/>
        </w:rPr>
        <w:t xml:space="preserve">телефон (факс): </w:t>
      </w:r>
      <w:r>
        <w:rPr>
          <w:spacing w:val="-1"/>
          <w:sz w:val="28"/>
          <w:szCs w:val="28"/>
        </w:rPr>
        <w:t>(8-816-66) 2-05-81.</w:t>
      </w:r>
    </w:p>
    <w:p w:rsidR="002D7F8F" w:rsidRDefault="002D7F8F" w:rsidP="002D7F8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1.3.5. Адрес официального сайта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2D7F8F" w:rsidRDefault="002D7F8F" w:rsidP="002D7F8F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   Место нахождения</w:t>
      </w:r>
      <w:r>
        <w:rPr>
          <w:rFonts w:eastAsia="A"/>
          <w:sz w:val="28"/>
          <w:szCs w:val="28"/>
        </w:rPr>
        <w:t xml:space="preserve"> многофункционального центра Валдайского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г.Валдай </w:t>
      </w:r>
      <w:r>
        <w:rPr>
          <w:sz w:val="28"/>
          <w:szCs w:val="28"/>
        </w:rPr>
        <w:t xml:space="preserve">Новгородской области, </w:t>
      </w:r>
      <w:r>
        <w:rPr>
          <w:rFonts w:eastAsia="A"/>
          <w:sz w:val="28"/>
          <w:szCs w:val="28"/>
        </w:rPr>
        <w:t>ул.Гагарина, д</w:t>
      </w:r>
      <w:r>
        <w:rPr>
          <w:sz w:val="28"/>
          <w:szCs w:val="28"/>
        </w:rPr>
        <w:t>12/2</w:t>
      </w:r>
      <w:r>
        <w:rPr>
          <w:rFonts w:eastAsia="A"/>
          <w:sz w:val="28"/>
          <w:szCs w:val="28"/>
        </w:rPr>
        <w:t>.</w:t>
      </w:r>
    </w:p>
    <w:p w:rsidR="002D7F8F" w:rsidRDefault="002D7F8F" w:rsidP="002D7F8F">
      <w:pPr>
        <w:ind w:firstLine="708"/>
        <w:jc w:val="both"/>
        <w:rPr>
          <w:rStyle w:val="FontStyle40"/>
          <w:rFonts w:eastAsia="A"/>
          <w:sz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ab/>
        <w:t>МФЦ:</w:t>
      </w:r>
    </w:p>
    <w:p w:rsidR="002D7F8F" w:rsidRDefault="002D7F8F" w:rsidP="002D7F8F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понедельник – пятница: с 8.00 до 17.00;</w:t>
      </w:r>
    </w:p>
    <w:p w:rsidR="002D7F8F" w:rsidRDefault="002D7F8F" w:rsidP="002D7F8F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2D7F8F" w:rsidRDefault="002D7F8F" w:rsidP="002D7F8F">
      <w:pPr>
        <w:jc w:val="both"/>
        <w:rPr>
          <w:rStyle w:val="FontStyle40"/>
          <w:rFonts w:eastAsia="A"/>
          <w:sz w:val="28"/>
          <w:szCs w:val="28"/>
        </w:rPr>
      </w:pPr>
      <w:r>
        <w:rPr>
          <w:rStyle w:val="FontStyle40"/>
          <w:sz w:val="28"/>
          <w:szCs w:val="28"/>
        </w:rPr>
        <w:t>суббота, воскресенье: выходной;</w:t>
      </w:r>
    </w:p>
    <w:p w:rsidR="002D7F8F" w:rsidRDefault="002D7F8F" w:rsidP="002D7F8F">
      <w:pPr>
        <w:jc w:val="both"/>
        <w:rPr>
          <w:rFonts w:eastAsia="A"/>
        </w:rPr>
      </w:pPr>
      <w:r>
        <w:rPr>
          <w:sz w:val="28"/>
          <w:szCs w:val="28"/>
        </w:rPr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(8-816-66) </w:t>
      </w:r>
      <w:r>
        <w:rPr>
          <w:rFonts w:eastAsia="A"/>
          <w:sz w:val="28"/>
          <w:szCs w:val="28"/>
        </w:rPr>
        <w:t>2-18-19</w:t>
      </w:r>
    </w:p>
    <w:p w:rsidR="002D7F8F" w:rsidRDefault="002D7F8F" w:rsidP="002D7F8F">
      <w:pPr>
        <w:jc w:val="both"/>
        <w:rPr>
          <w:rFonts w:eastAsia="A"/>
          <w:sz w:val="28"/>
          <w:szCs w:val="28"/>
        </w:rPr>
      </w:pPr>
      <w:r>
        <w:rPr>
          <w:rStyle w:val="FontStyle40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1.3.6. Информацию о месте нахождения и графике работы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структурных подразделений территориальных органов,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участвующих в предоставлении государственной услуги можно получить на личном приеме у специалистов комитета или в сети «Интернет». 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1.3.7. Информирование заявителей о порядке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или о ходе предоставления государственной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по запросу заявителя, поступившему при личном обращении (по телефону), либо направленному почтовой связью (по электронной почте).</w:t>
      </w:r>
    </w:p>
    <w:p w:rsidR="002D7F8F" w:rsidRDefault="002D7F8F" w:rsidP="002D7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Информация о предоставлении государственной услуги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на официальном сайте Администрации Валдайского муниципального района в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на информационных стендах в помещениях управления.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1.3.9. Основными требованиями к информированию заявителей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информации;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наглядность форм предоставляемой информации;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1.3.10. Консультации предоставляются по следующим  вопросам:</w:t>
      </w:r>
    </w:p>
    <w:p w:rsidR="002D7F8F" w:rsidRDefault="002D7F8F" w:rsidP="002D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комплектности (достаточности)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2D7F8F" w:rsidRDefault="002D7F8F" w:rsidP="002D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источнике получения документов, необходимых для предоставления государственной услуги;</w:t>
      </w:r>
    </w:p>
    <w:p w:rsidR="002D7F8F" w:rsidRDefault="002D7F8F" w:rsidP="002D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времени приема и выдачи документов;</w:t>
      </w:r>
    </w:p>
    <w:p w:rsidR="002D7F8F" w:rsidRDefault="002D7F8F" w:rsidP="002D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государственной услуги;</w:t>
      </w:r>
    </w:p>
    <w:p w:rsidR="002D7F8F" w:rsidRDefault="002D7F8F" w:rsidP="002D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государственной услуги;</w:t>
      </w:r>
    </w:p>
    <w:p w:rsidR="002D7F8F" w:rsidRDefault="002D7F8F" w:rsidP="002D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и решений,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и принимаемых в ходе предоставления государственной услуги.</w:t>
      </w:r>
    </w:p>
    <w:p w:rsidR="002D7F8F" w:rsidRDefault="002D7F8F" w:rsidP="002D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1.3.11. Специалист комитета не вправе осуществлять информирование, влияющее прямо или косвенно на результат предоставления государственной услуги.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1.3.12. По письменным обращениям гражданина, ответ направляется почтой в адрес гражданина в срок, не превышающий 30 (тридцати) дней со дня регистрации письменного обращения.</w:t>
      </w:r>
    </w:p>
    <w:p w:rsidR="002D7F8F" w:rsidRDefault="002D7F8F" w:rsidP="002D7F8F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При информировании по электронной почте (при ее наличии) по вопросам, перечень которых установлен в </w:t>
      </w:r>
      <w:hyperlink r:id="rId9" w:anchor="Par312#Par312" w:history="1">
        <w:r w:rsidRPr="002D7F8F">
          <w:rPr>
            <w:rStyle w:val="af"/>
            <w:color w:val="auto"/>
            <w:sz w:val="28"/>
            <w:szCs w:val="28"/>
            <w:u w:val="none"/>
          </w:rPr>
          <w:t>пункте 1.3.10</w:t>
        </w:r>
      </w:hyperlink>
      <w:r>
        <w:rPr>
          <w:sz w:val="28"/>
          <w:szCs w:val="28"/>
        </w:rPr>
        <w:t xml:space="preserve">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обращения.</w:t>
      </w:r>
    </w:p>
    <w:p w:rsidR="002D7F8F" w:rsidRDefault="002D7F8F" w:rsidP="002D7F8F">
      <w:pPr>
        <w:autoSpaceDE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1.3.14. При ответах на телефонные звонки и устные обращения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листы комитета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комитета, принявшего телефонный звонок.</w:t>
      </w:r>
    </w:p>
    <w:p w:rsidR="002D7F8F" w:rsidRDefault="002D7F8F" w:rsidP="002D7F8F">
      <w:pPr>
        <w:autoSpaceDE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1.3.15. При невозможности специалиста комитета, принявшего звонок, самостоятельно ответить на поставленные вопросы, телефонный звонок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реадресовывается (переводится) на другого специалиста комитета или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тившемуся гражданину сообщается номер телефона, по которому можно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необходимую информацию.»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пункт 2.6.1 абзацем следующего содержания: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«копию вступившего в законную силу решения суда об обязании включить в список лицо, в отношении которого решается вопрос о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список, либо предоставить жилое помещение лицу,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решается вопрос о включении в список.»;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1.6. Исключить пункт 2.6.2;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1.7. Исключить из пункта 2.6.3 слова «документ, содержащий сведения о проживающих совместно с заявителем совершеннолетних и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нолетних лицах (если общая площадь жилого помещения, приходящаяся на </w:t>
      </w:r>
      <w:r>
        <w:rPr>
          <w:sz w:val="28"/>
          <w:szCs w:val="28"/>
        </w:rPr>
        <w:lastRenderedPageBreak/>
        <w:t>одно лицо, проживающее в данном жилом помещении, менее учетной нормы площади жилого помещения)»;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Изложить  первый абзац пункта 2.7.1 в редакции: 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«выписку из Единого государственного реестра прав на недвижимое имущество и сделок с ним Управления Федеральной службы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регистрации, кадастра и картографии по Новгородской области и 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 бюро технической инвентаризации, иного органа, ведущего регистрацию прав собственности (до 19 апреля 1999 года), об отсутствии или наличии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регистрированных прав на жилые помещения на территории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у лица, в отношении которого решается вопрос о включении в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сок;»;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1.9. Исключить пункт 3.4.6;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1.10. Заменить в пунктах 2.2.1, 3.2.2, 3.2.4, 4.3, 4.3.1, 4.3.2, 5.1.1 слова «отдела» на «комитета»;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1.11. Заменить в пунктах 2.2.3, 2.6.1, 2.8, 3.2.1, 3.2.6, 3.4.2, 3.4.3 слова «отдел» на «комитет»;</w:t>
      </w:r>
    </w:p>
    <w:p w:rsidR="002D7F8F" w:rsidRDefault="002D7F8F" w:rsidP="002D7F8F">
      <w:pPr>
        <w:shd w:val="clear" w:color="auto" w:fill="FFFFFF"/>
        <w:ind w:left="14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1.12. Заменить в пункте 2.2.4 слово «отделом» на «комитет».</w:t>
      </w:r>
    </w:p>
    <w:p w:rsidR="005F5BA8" w:rsidRPr="002D7F8F" w:rsidRDefault="002D7F8F" w:rsidP="002D7F8F">
      <w:pPr>
        <w:shd w:val="clear" w:color="auto" w:fill="FFFFFF"/>
        <w:tabs>
          <w:tab w:val="left" w:pos="869"/>
        </w:tabs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, в региональной го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ударственной информационной системе «Портал государственных и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пальных услуг (функций) Новгородской области»,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E541E">
        <w:rPr>
          <w:b/>
          <w:sz w:val="28"/>
          <w:szCs w:val="28"/>
        </w:rPr>
        <w:t>муниципального района</w:t>
      </w:r>
      <w:r w:rsidR="00DE541E">
        <w:rPr>
          <w:b/>
          <w:sz w:val="28"/>
          <w:szCs w:val="28"/>
        </w:rPr>
        <w:tab/>
      </w:r>
      <w:r w:rsidR="00DE54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90" w:rsidRDefault="00F12390">
      <w:r>
        <w:separator/>
      </w:r>
    </w:p>
  </w:endnote>
  <w:endnote w:type="continuationSeparator" w:id="0">
    <w:p w:rsidR="00F12390" w:rsidRDefault="00F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90" w:rsidRDefault="00F12390">
      <w:r>
        <w:separator/>
      </w:r>
    </w:p>
  </w:footnote>
  <w:footnote w:type="continuationSeparator" w:id="0">
    <w:p w:rsidR="00F12390" w:rsidRDefault="00F1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D1C3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7F8F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8F"/>
    <w:rsid w:val="004C563F"/>
    <w:rsid w:val="004D0CC1"/>
    <w:rsid w:val="004D2453"/>
    <w:rsid w:val="004D3433"/>
    <w:rsid w:val="004D3F89"/>
    <w:rsid w:val="004D6493"/>
    <w:rsid w:val="004D76EB"/>
    <w:rsid w:val="004D7CBB"/>
    <w:rsid w:val="004E4388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E541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39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1C36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2D7F8F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2D7F8F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17140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3\&#1046;&#1050;&#1061;\&#1055;&#1088;&#1086;&#1077;&#1082;&#1090;&#1099;%20&#1087;&#1086;&#1089;&#1090;&#1072;&#1085;&#1086;&#1074;&#1083;&#1077;&#1085;&#1080;&#1081;\&#1056;&#1077;&#1075;&#1072;&#1083;&#1077;&#1085;&#1077;&#1085;&#1090;%20&#1057;&#1080;&#1088;&#1086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8374</CharactersWithSpaces>
  <SharedDoc>false</SharedDoc>
  <HLinks>
    <vt:vector size="12" baseType="variant">
      <vt:variant>
        <vt:i4>6947936</vt:i4>
      </vt:variant>
      <vt:variant>
        <vt:i4>3</vt:i4>
      </vt:variant>
      <vt:variant>
        <vt:i4>0</vt:i4>
      </vt:variant>
      <vt:variant>
        <vt:i4>5</vt:i4>
      </vt:variant>
      <vt:variant>
        <vt:lpwstr>../../ЖКХ/Проекты постановлений/Регаленент Сироты.doc</vt:lpwstr>
      </vt:variant>
      <vt:variant>
        <vt:lpwstr>Par312#Par312</vt:lpwstr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http://docs.cntd.ru/document/411714057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2016-01-28T07:22:00Z</cp:lastPrinted>
  <dcterms:created xsi:type="dcterms:W3CDTF">2016-01-28T13:17:00Z</dcterms:created>
  <dcterms:modified xsi:type="dcterms:W3CDTF">2016-01-28T13:17:00Z</dcterms:modified>
</cp:coreProperties>
</file>