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6704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68817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0866" w:rsidP="00C4619C">
      <w:pPr>
        <w:jc w:val="center"/>
        <w:rPr>
          <w:sz w:val="28"/>
        </w:rPr>
      </w:pPr>
      <w:r>
        <w:rPr>
          <w:sz w:val="28"/>
        </w:rPr>
        <w:t>03</w:t>
      </w:r>
      <w:r w:rsidR="00E6090F">
        <w:rPr>
          <w:sz w:val="28"/>
        </w:rPr>
        <w:t>.05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1127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B0866" w:rsidRDefault="00AB0866" w:rsidP="00AB0866">
      <w:pPr>
        <w:spacing w:line="240" w:lineRule="exact"/>
        <w:jc w:val="center"/>
        <w:rPr>
          <w:b/>
          <w:sz w:val="28"/>
          <w:szCs w:val="28"/>
        </w:rPr>
      </w:pPr>
      <w:r w:rsidRPr="00E05B49">
        <w:rPr>
          <w:b/>
          <w:sz w:val="28"/>
          <w:szCs w:val="28"/>
        </w:rPr>
        <w:t>Об установлении</w:t>
      </w:r>
    </w:p>
    <w:p w:rsidR="00AB0866" w:rsidRPr="00E05B49" w:rsidRDefault="00AB0866" w:rsidP="00AB0866">
      <w:pPr>
        <w:spacing w:line="240" w:lineRule="exact"/>
        <w:jc w:val="center"/>
        <w:rPr>
          <w:b/>
          <w:sz w:val="28"/>
          <w:szCs w:val="28"/>
        </w:rPr>
      </w:pPr>
      <w:r w:rsidRPr="00E05B49">
        <w:rPr>
          <w:b/>
          <w:sz w:val="28"/>
          <w:szCs w:val="28"/>
        </w:rPr>
        <w:t>публичного сервитута</w:t>
      </w:r>
    </w:p>
    <w:p w:rsidR="00AB0866" w:rsidRDefault="00AB0866" w:rsidP="00AB0866">
      <w:pPr>
        <w:ind w:firstLine="709"/>
        <w:jc w:val="both"/>
        <w:rPr>
          <w:sz w:val="28"/>
          <w:szCs w:val="28"/>
        </w:rPr>
      </w:pPr>
    </w:p>
    <w:p w:rsidR="00AB0866" w:rsidRPr="00E05B49" w:rsidRDefault="00AB0866" w:rsidP="00AB0866">
      <w:pPr>
        <w:ind w:firstLine="709"/>
        <w:jc w:val="both"/>
        <w:rPr>
          <w:sz w:val="28"/>
          <w:szCs w:val="28"/>
        </w:rPr>
      </w:pPr>
    </w:p>
    <w:p w:rsidR="00AB0866" w:rsidRPr="00AB0866" w:rsidRDefault="00AB0866" w:rsidP="00AB0866">
      <w:pPr>
        <w:pStyle w:val="a6"/>
        <w:ind w:firstLine="709"/>
        <w:rPr>
          <w:szCs w:val="28"/>
          <w:lang w:val="ru-RU"/>
        </w:rPr>
      </w:pPr>
      <w:r w:rsidRPr="00E05B49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E05B49">
        <w:rPr>
          <w:szCs w:val="28"/>
        </w:rPr>
        <w:t>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</w:t>
      </w:r>
      <w:r>
        <w:rPr>
          <w:szCs w:val="28"/>
        </w:rPr>
        <w:t xml:space="preserve"> пунктом 1 статьи 39.43, стать</w:t>
      </w:r>
      <w:r>
        <w:rPr>
          <w:szCs w:val="28"/>
          <w:lang w:val="ru-RU"/>
        </w:rPr>
        <w:t>ями</w:t>
      </w:r>
      <w:r>
        <w:rPr>
          <w:szCs w:val="28"/>
        </w:rPr>
        <w:t xml:space="preserve"> 39.45,</w:t>
      </w:r>
      <w:r w:rsidRPr="00E05B49">
        <w:rPr>
          <w:szCs w:val="28"/>
        </w:rPr>
        <w:t xml:space="preserve"> 39.50 Земельного кодекса Российской Федерации, приказом Росреестра от 19.04.2022 № П/0150 «Об утверждении требований к форме ходатайства </w:t>
      </w:r>
      <w:r>
        <w:rPr>
          <w:szCs w:val="28"/>
          <w:lang w:val="ru-RU"/>
        </w:rPr>
        <w:br/>
      </w:r>
      <w:r w:rsidRPr="00E05B49">
        <w:rPr>
          <w:szCs w:val="28"/>
        </w:rPr>
        <w:t>об установлении публичного сервитута, содержанию обоснования необходимости установления публичного сервитута», рассмотрев ходатайства публичного акционерного общества «Россети Северо-Запад» (далее</w:t>
      </w:r>
      <w:r>
        <w:rPr>
          <w:szCs w:val="28"/>
          <w:lang w:val="ru-RU"/>
        </w:rPr>
        <w:t xml:space="preserve"> –</w:t>
      </w:r>
      <w:r w:rsidRPr="00E05B49">
        <w:rPr>
          <w:szCs w:val="28"/>
        </w:rPr>
        <w:t xml:space="preserve"> ПАО «Россети Северо-Запад») ИНН: 7802312751, ОГРН: 1047855175785 (юридический адрес: 196247 г.</w:t>
      </w:r>
      <w:r>
        <w:rPr>
          <w:szCs w:val="28"/>
          <w:lang w:val="ru-RU"/>
        </w:rPr>
        <w:t> </w:t>
      </w:r>
      <w:r>
        <w:rPr>
          <w:szCs w:val="28"/>
        </w:rPr>
        <w:t>Санкт-Петербург, пл.</w:t>
      </w:r>
      <w:r>
        <w:rPr>
          <w:szCs w:val="28"/>
          <w:lang w:val="ru-RU"/>
        </w:rPr>
        <w:t> </w:t>
      </w:r>
      <w:r w:rsidRPr="00E05B49">
        <w:rPr>
          <w:szCs w:val="28"/>
        </w:rPr>
        <w:t xml:space="preserve">Конституции, д. 3, литер А, помещ. 16Н), на основании публикации </w:t>
      </w:r>
      <w:r>
        <w:rPr>
          <w:szCs w:val="28"/>
          <w:lang w:val="ru-RU"/>
        </w:rPr>
        <w:br/>
      </w:r>
      <w:r w:rsidRPr="00E05B49">
        <w:rPr>
          <w:szCs w:val="28"/>
        </w:rPr>
        <w:t>на официальном сайте муниципального образования от 18.04.2024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E05B49">
        <w:rPr>
          <w:color w:val="FF0000"/>
          <w:szCs w:val="28"/>
        </w:rPr>
        <w:t xml:space="preserve"> </w:t>
      </w:r>
      <w:r w:rsidRPr="00E05B49">
        <w:rPr>
          <w:b/>
          <w:szCs w:val="28"/>
        </w:rPr>
        <w:t>ПОСТАНОВЛЯЕТ: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1. Установить в пользу ПАО «Россети Северо-Запад» публичный сервитут площадью 156 кв.м в отношении земель, государственная собственность на которые не разграничена, в кадастровом квартале 53:03:1513001, местоположение:</w:t>
      </w:r>
    </w:p>
    <w:p w:rsidR="00AB0866" w:rsidRPr="00854433" w:rsidRDefault="00AB0866" w:rsidP="00AB0866">
      <w:pPr>
        <w:pStyle w:val="a6"/>
        <w:ind w:firstLine="709"/>
        <w:rPr>
          <w:szCs w:val="28"/>
          <w:lang w:val="ru-RU"/>
        </w:rPr>
      </w:pPr>
      <w:r w:rsidRPr="00E05B49">
        <w:rPr>
          <w:szCs w:val="28"/>
        </w:rPr>
        <w:t xml:space="preserve">Российская Федерация, Новгородская область, Валдайский муниципальный район, и части земельного участка с кадастровым номером </w:t>
      </w:r>
      <w:r w:rsidRPr="00E05B49">
        <w:rPr>
          <w:bCs/>
          <w:szCs w:val="28"/>
        </w:rPr>
        <w:t xml:space="preserve">53:03:1513001:121, расположенного по адресу: </w:t>
      </w:r>
      <w:r w:rsidRPr="00E05B49">
        <w:rPr>
          <w:szCs w:val="28"/>
        </w:rPr>
        <w:t>Новгородская область, Валдайский район, Яжелбицкое сельское поселение, с. Яжелбицы, земельный участок расположен в северо-западной части кадастрового квартала 53:03:1513001, для эксплуатации объекта электросетевого хозяйства</w:t>
      </w:r>
      <w:r w:rsidRPr="00854433">
        <w:rPr>
          <w:szCs w:val="28"/>
        </w:rPr>
        <w:t>: «</w:t>
      </w:r>
      <w:r w:rsidRPr="00854433">
        <w:rPr>
          <w:iCs/>
          <w:szCs w:val="28"/>
        </w:rPr>
        <w:t>ВЛ-0,4 кВ Л-2 ТП-10/0,4кВ ж.дом Яжелбицы</w:t>
      </w:r>
      <w:r w:rsidRPr="00854433">
        <w:rPr>
          <w:szCs w:val="28"/>
        </w:rPr>
        <w:t>»</w:t>
      </w:r>
      <w:r w:rsidRPr="00854433">
        <w:rPr>
          <w:szCs w:val="28"/>
          <w:lang w:val="ru-RU"/>
        </w:rPr>
        <w:t>.</w:t>
      </w:r>
    </w:p>
    <w:p w:rsidR="00AB0866" w:rsidRPr="00AB0866" w:rsidRDefault="00AB0866" w:rsidP="00AB0866">
      <w:pPr>
        <w:pStyle w:val="a6"/>
        <w:ind w:firstLine="709"/>
        <w:rPr>
          <w:szCs w:val="28"/>
          <w:lang w:val="ru-RU"/>
        </w:rPr>
      </w:pPr>
      <w:r w:rsidRPr="00E05B49">
        <w:rPr>
          <w:szCs w:val="28"/>
        </w:rPr>
        <w:lastRenderedPageBreak/>
        <w:t xml:space="preserve">2. Срок публичного сервитута </w:t>
      </w:r>
      <w:r>
        <w:rPr>
          <w:szCs w:val="28"/>
        </w:rPr>
        <w:t>–</w:t>
      </w:r>
      <w:r w:rsidRPr="00E05B49">
        <w:rPr>
          <w:szCs w:val="28"/>
        </w:rPr>
        <w:t xml:space="preserve"> 49 (сорок девять) лет с момента внесения сведений о нём в Единый государственный реестр недвижимости.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3. Цель установления публичного сервитута: для эксплуатации объекта электросетевого хозяйства согласно пункту 1 статьи 39.37 Земельного кодекса Российской Федерации.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4. Утвердить границы публичного</w:t>
      </w:r>
      <w:r>
        <w:rPr>
          <w:szCs w:val="28"/>
        </w:rPr>
        <w:t xml:space="preserve"> сервитута согласно приложению</w:t>
      </w:r>
      <w:r w:rsidRPr="00E05B49">
        <w:rPr>
          <w:szCs w:val="28"/>
        </w:rPr>
        <w:t xml:space="preserve"> к постановлению.</w:t>
      </w:r>
    </w:p>
    <w:p w:rsidR="00AB0866" w:rsidRPr="00AB0866" w:rsidRDefault="00AB0866" w:rsidP="00AB0866">
      <w:pPr>
        <w:pStyle w:val="a6"/>
        <w:ind w:firstLine="709"/>
        <w:rPr>
          <w:szCs w:val="28"/>
          <w:lang w:val="ru-RU"/>
        </w:rPr>
      </w:pPr>
      <w:r w:rsidRPr="00E05B49">
        <w:rPr>
          <w:szCs w:val="28"/>
        </w:rPr>
        <w:t xml:space="preserve">5. Срок, в течение которого использование указанных земель и земельных участков (их частей) и (или) расположенных на них объектов недвижимости, в соответствии с их разрешенным использованием, будет невозможно или существенно затруднено, в связи с осуществлением деятельности для обеспечения которой устанавливается публичный сервитут (при наличии таких обстоятельств) </w:t>
      </w:r>
      <w:r>
        <w:rPr>
          <w:szCs w:val="28"/>
        </w:rPr>
        <w:t>–</w:t>
      </w:r>
      <w:r w:rsidRPr="00E05B49">
        <w:rPr>
          <w:szCs w:val="28"/>
        </w:rPr>
        <w:t xml:space="preserve"> отсутствует.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 xml:space="preserve">6. 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устанавливается публичный сервитут регламентируются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 февраля </w:t>
      </w:r>
      <w:r>
        <w:rPr>
          <w:szCs w:val="28"/>
          <w:lang w:val="ru-RU"/>
        </w:rPr>
        <w:br/>
      </w:r>
      <w:r w:rsidRPr="00E05B49">
        <w:rPr>
          <w:szCs w:val="28"/>
        </w:rPr>
        <w:t>2009 года №</w:t>
      </w:r>
      <w:r>
        <w:rPr>
          <w:szCs w:val="28"/>
        </w:rPr>
        <w:t xml:space="preserve"> 160 </w:t>
      </w:r>
      <w:r>
        <w:rPr>
          <w:szCs w:val="28"/>
          <w:lang w:val="ru-RU"/>
        </w:rPr>
        <w:t>«</w:t>
      </w:r>
      <w:r w:rsidRPr="00E05B49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Cs w:val="28"/>
          <w:lang w:val="ru-RU"/>
        </w:rPr>
        <w:t>»</w:t>
      </w:r>
      <w:r w:rsidRPr="00E05B49">
        <w:rPr>
          <w:szCs w:val="28"/>
        </w:rPr>
        <w:t>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7.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 xml:space="preserve">8. ПАО «Россети Северо-Запад»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</w:t>
      </w:r>
      <w:r w:rsidRPr="00E05B49">
        <w:rPr>
          <w:bCs/>
          <w:szCs w:val="28"/>
        </w:rPr>
        <w:t>53:03:1513001:121, в котором будет определён размер платы за публичный сервитут, порядок и срок её внесения.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bCs/>
          <w:szCs w:val="28"/>
        </w:rPr>
        <w:t xml:space="preserve">8.1. </w:t>
      </w:r>
      <w:r w:rsidRPr="00E05B49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 xml:space="preserve">8.2. Размер платы за земли, государственная собственность на которые не разграничена, указанные в постановлении, за весь срок действия </w:t>
      </w:r>
      <w:r w:rsidRPr="00E05B49">
        <w:rPr>
          <w:szCs w:val="28"/>
        </w:rPr>
        <w:lastRenderedPageBreak/>
        <w:t>публичного сервитута, составляет: 56 рублей 8 копеек (147 кв.м (S) х 77,86 руб/кв.м (СПКС) х 0,01% х 49 лет), где: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S – общая площадь земель (кв.м);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СПКС – средний показатель кадастровой стоимости земель, государственная собственность на которые не разграничена, по муниципальному району (в соответствии с приложением 2 к постановлению министерства строительства, архитектуры и имущественных отношений Новгородской области от 23.11.2022 № 22).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</w:t>
      </w:r>
      <w:r>
        <w:rPr>
          <w:szCs w:val="28"/>
          <w:lang w:val="ru-RU"/>
        </w:rPr>
        <w:br/>
      </w:r>
      <w:r w:rsidRPr="00E05B49">
        <w:rPr>
          <w:szCs w:val="28"/>
        </w:rPr>
        <w:t>л/с 04503012240), ИНН: 5302001218, КПП: 530201001, Банк получателя: ОТДЕЛЕНИЕ  НОВГОРОД  БАНКА  РОССИИ//УФК  ПО НОВГОРОДСКОЙ  ОБЛАСТИ г.</w:t>
      </w:r>
      <w:r>
        <w:rPr>
          <w:szCs w:val="28"/>
          <w:lang w:val="ru-RU"/>
        </w:rPr>
        <w:t> </w:t>
      </w:r>
      <w:r>
        <w:rPr>
          <w:szCs w:val="28"/>
        </w:rPr>
        <w:t>Великий Новгород, р/с</w:t>
      </w:r>
      <w:r>
        <w:rPr>
          <w:szCs w:val="28"/>
          <w:lang w:val="ru-RU"/>
        </w:rPr>
        <w:t> </w:t>
      </w:r>
      <w:r w:rsidRPr="00E05B49">
        <w:rPr>
          <w:szCs w:val="28"/>
        </w:rPr>
        <w:t xml:space="preserve">03100643000000015000, </w:t>
      </w:r>
      <w:r>
        <w:rPr>
          <w:szCs w:val="28"/>
          <w:lang w:val="ru-RU"/>
        </w:rPr>
        <w:br/>
      </w:r>
      <w:r w:rsidRPr="00E05B49">
        <w:rPr>
          <w:szCs w:val="28"/>
        </w:rPr>
        <w:t>к/с 40102810145370000042, БИК 014959900,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КБК 900 111 05410 00 0000 120, ОКТМО – 49608101.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9.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10. ПАО «Россети Северо-Запад» обязано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B0866" w:rsidRPr="00E05B49" w:rsidRDefault="00AB0866" w:rsidP="00AB0866">
      <w:pPr>
        <w:pStyle w:val="a6"/>
        <w:ind w:firstLine="709"/>
        <w:rPr>
          <w:szCs w:val="28"/>
        </w:rPr>
      </w:pPr>
      <w:r w:rsidRPr="00E05B49">
        <w:rPr>
          <w:szCs w:val="28"/>
        </w:rPr>
        <w:t>11. Публичный сервитут считается установленным со дня внесения сведений о нем в Единый государственный реестр недвижимости.</w:t>
      </w:r>
    </w:p>
    <w:p w:rsidR="00AB0866" w:rsidRPr="00E05B49" w:rsidRDefault="00AB0866" w:rsidP="00AB0866">
      <w:pPr>
        <w:ind w:firstLine="709"/>
        <w:jc w:val="both"/>
        <w:rPr>
          <w:sz w:val="28"/>
          <w:szCs w:val="28"/>
        </w:rPr>
      </w:pPr>
      <w:r w:rsidRPr="00E05B49">
        <w:rPr>
          <w:sz w:val="28"/>
          <w:szCs w:val="28"/>
        </w:rPr>
        <w:t>12. Обладатель публичного сервитута вправе приступить к осуществлению публичного сервитута:</w:t>
      </w:r>
    </w:p>
    <w:p w:rsidR="00AB0866" w:rsidRPr="00E05B49" w:rsidRDefault="00AB0866" w:rsidP="00AB0866">
      <w:pPr>
        <w:ind w:firstLine="709"/>
        <w:jc w:val="both"/>
        <w:rPr>
          <w:sz w:val="28"/>
          <w:szCs w:val="28"/>
        </w:rPr>
      </w:pPr>
      <w:r w:rsidRPr="00E05B49">
        <w:rPr>
          <w:sz w:val="28"/>
          <w:szCs w:val="28"/>
        </w:rPr>
        <w:t xml:space="preserve">1) в отношении земель и земельных участков, находящихся в государственной или муниципальной собственности, собственность на которые не разграничена </w:t>
      </w:r>
      <w:r>
        <w:rPr>
          <w:sz w:val="28"/>
          <w:szCs w:val="28"/>
        </w:rPr>
        <w:t>–</w:t>
      </w:r>
      <w:r w:rsidRPr="00E05B49">
        <w:rPr>
          <w:sz w:val="28"/>
          <w:szCs w:val="28"/>
        </w:rPr>
        <w:t xml:space="preserve"> со дня внесения сведений о публичном сервитуте в Единый государственный реестр недвижимости, но не ранее даты внесения оплаты за публичный сервитут в порядке, предусмотренном пунктом 5 </w:t>
      </w:r>
      <w:r>
        <w:rPr>
          <w:sz w:val="28"/>
          <w:szCs w:val="28"/>
        </w:rPr>
        <w:t>п</w:t>
      </w:r>
      <w:r w:rsidRPr="00E05B49">
        <w:rPr>
          <w:sz w:val="28"/>
          <w:szCs w:val="28"/>
        </w:rPr>
        <w:t>остановления;</w:t>
      </w:r>
    </w:p>
    <w:p w:rsidR="00AB0866" w:rsidRPr="00E05B49" w:rsidRDefault="00AB0866" w:rsidP="00AB0866">
      <w:pPr>
        <w:ind w:firstLine="709"/>
        <w:jc w:val="both"/>
        <w:rPr>
          <w:sz w:val="28"/>
          <w:szCs w:val="28"/>
        </w:rPr>
      </w:pPr>
      <w:r w:rsidRPr="00E05B49">
        <w:rPr>
          <w:sz w:val="28"/>
          <w:szCs w:val="28"/>
        </w:rPr>
        <w:lastRenderedPageBreak/>
        <w:t xml:space="preserve">2) в отношении земельных участков, находящихся в частной собственности </w:t>
      </w:r>
      <w:r>
        <w:rPr>
          <w:sz w:val="28"/>
          <w:szCs w:val="28"/>
        </w:rPr>
        <w:t>–</w:t>
      </w:r>
      <w:r w:rsidRPr="00E05B49">
        <w:rPr>
          <w:sz w:val="28"/>
          <w:szCs w:val="28"/>
        </w:rPr>
        <w:t xml:space="preserve"> со дня заключения соглашения об осуществлении публичного сервитута, но не ранее дня внесения сведений о публичном сервитуте в Единый государственный реестр недвижимости.</w:t>
      </w:r>
    </w:p>
    <w:p w:rsidR="00AB0866" w:rsidRPr="00E05B49" w:rsidRDefault="00AB0866" w:rsidP="00AB0866">
      <w:pPr>
        <w:ind w:firstLine="709"/>
        <w:jc w:val="both"/>
        <w:rPr>
          <w:sz w:val="28"/>
          <w:szCs w:val="28"/>
        </w:rPr>
      </w:pPr>
      <w:r w:rsidRPr="00E05B49">
        <w:rPr>
          <w:sz w:val="28"/>
          <w:szCs w:val="28"/>
        </w:rPr>
        <w:t xml:space="preserve">13. Опубликовать постановление в бюллетене «Валдайский Вестник» и разместить на </w:t>
      </w:r>
      <w:r>
        <w:rPr>
          <w:sz w:val="28"/>
          <w:szCs w:val="28"/>
        </w:rPr>
        <w:t xml:space="preserve">официальном </w:t>
      </w:r>
      <w:r w:rsidRPr="00E05B49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B0866" w:rsidRP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Default="00AB0866" w:rsidP="00AB0866">
      <w:pPr>
        <w:spacing w:line="240" w:lineRule="exact"/>
        <w:ind w:left="5670"/>
        <w:jc w:val="right"/>
        <w:rPr>
          <w:sz w:val="24"/>
          <w:szCs w:val="24"/>
        </w:rPr>
      </w:pPr>
    </w:p>
    <w:p w:rsidR="00AB0866" w:rsidRPr="00220E3C" w:rsidRDefault="00AB0866" w:rsidP="00AB086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AB0866" w:rsidRPr="00220E3C" w:rsidRDefault="00AB0866" w:rsidP="00AB086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AB0866" w:rsidRDefault="00AB0866" w:rsidP="00AB086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AB0866" w:rsidRDefault="00AB0866" w:rsidP="00AB0866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03.05.2024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1127</w:t>
      </w:r>
    </w:p>
    <w:p w:rsidR="00AB0866" w:rsidRDefault="00AB0866" w:rsidP="00AB0866">
      <w:pPr>
        <w:jc w:val="right"/>
        <w:rPr>
          <w:sz w:val="28"/>
          <w:szCs w:val="28"/>
        </w:rPr>
      </w:pPr>
    </w:p>
    <w:p w:rsidR="00AB0866" w:rsidRPr="00AB0866" w:rsidRDefault="00AB0866" w:rsidP="00AB0866">
      <w:pPr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6">
        <w:rPr>
          <w:b/>
          <w:sz w:val="28"/>
          <w:szCs w:val="28"/>
        </w:rPr>
        <w:t>Схема границ размещения публичного сервитута</w:t>
      </w:r>
    </w:p>
    <w:p w:rsidR="00AB0866" w:rsidRPr="0042161E" w:rsidRDefault="00AB0866" w:rsidP="00AB0866">
      <w:pPr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61E">
        <w:rPr>
          <w:b/>
          <w:bCs/>
          <w:iCs/>
          <w:sz w:val="28"/>
          <w:szCs w:val="28"/>
        </w:rPr>
        <w:t xml:space="preserve">Объект: </w:t>
      </w:r>
      <w:r w:rsidRPr="0042161E">
        <w:rPr>
          <w:b/>
          <w:bCs/>
          <w:iCs/>
          <w:spacing w:val="-1"/>
          <w:sz w:val="28"/>
          <w:szCs w:val="28"/>
        </w:rPr>
        <w:t xml:space="preserve">«ВЛ-0,4 </w:t>
      </w:r>
      <w:r w:rsidRPr="0042161E">
        <w:rPr>
          <w:b/>
          <w:bCs/>
          <w:iCs/>
          <w:sz w:val="28"/>
          <w:szCs w:val="28"/>
        </w:rPr>
        <w:t>кВЛ-2ТП-10/0,4кВ</w:t>
      </w:r>
      <w:r w:rsidR="00854433">
        <w:rPr>
          <w:b/>
          <w:bCs/>
          <w:iCs/>
          <w:sz w:val="28"/>
          <w:szCs w:val="28"/>
        </w:rPr>
        <w:t xml:space="preserve"> </w:t>
      </w:r>
      <w:r w:rsidRPr="0042161E">
        <w:rPr>
          <w:b/>
          <w:bCs/>
          <w:iCs/>
          <w:sz w:val="28"/>
          <w:szCs w:val="28"/>
        </w:rPr>
        <w:t>ж.дом</w:t>
      </w:r>
      <w:r w:rsidR="0042161E">
        <w:rPr>
          <w:b/>
          <w:bCs/>
          <w:iCs/>
          <w:sz w:val="28"/>
          <w:szCs w:val="28"/>
        </w:rPr>
        <w:t xml:space="preserve"> </w:t>
      </w:r>
      <w:r w:rsidRPr="0042161E">
        <w:rPr>
          <w:b/>
          <w:bCs/>
          <w:iCs/>
          <w:sz w:val="28"/>
          <w:szCs w:val="28"/>
        </w:rPr>
        <w:t>Яжелбицы»</w:t>
      </w:r>
    </w:p>
    <w:p w:rsidR="00AB0866" w:rsidRDefault="00AB0866" w:rsidP="00AB0866">
      <w:pPr>
        <w:kinsoku w:val="0"/>
        <w:overflowPunct w:val="0"/>
        <w:autoSpaceDE w:val="0"/>
        <w:autoSpaceDN w:val="0"/>
        <w:adjustRightInd w:val="0"/>
        <w:jc w:val="center"/>
        <w:rPr>
          <w:w w:val="105"/>
          <w:sz w:val="24"/>
          <w:szCs w:val="24"/>
        </w:rPr>
      </w:pPr>
      <w:r w:rsidRPr="00AB0866">
        <w:rPr>
          <w:spacing w:val="-2"/>
          <w:w w:val="105"/>
          <w:sz w:val="24"/>
          <w:szCs w:val="24"/>
        </w:rPr>
        <w:t>(</w:t>
      </w:r>
      <w:r w:rsidRPr="00AB0866">
        <w:rPr>
          <w:spacing w:val="-1"/>
          <w:w w:val="105"/>
          <w:sz w:val="24"/>
          <w:szCs w:val="24"/>
        </w:rPr>
        <w:t xml:space="preserve">наименование </w:t>
      </w:r>
      <w:r w:rsidRPr="00AB0866">
        <w:rPr>
          <w:w w:val="105"/>
          <w:sz w:val="24"/>
          <w:szCs w:val="24"/>
        </w:rPr>
        <w:t>объекта)</w:t>
      </w:r>
    </w:p>
    <w:p w:rsidR="0042161E" w:rsidRPr="0042161E" w:rsidRDefault="0042161E" w:rsidP="0042161E">
      <w:pPr>
        <w:kinsoku w:val="0"/>
        <w:overflowPunct w:val="0"/>
        <w:autoSpaceDE w:val="0"/>
        <w:autoSpaceDN w:val="0"/>
        <w:adjustRightInd w:val="0"/>
        <w:jc w:val="right"/>
      </w:pPr>
    </w:p>
    <w:p w:rsidR="00AB0866" w:rsidRPr="00AB0866" w:rsidRDefault="00AB0866" w:rsidP="00C81559">
      <w:pPr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spacing w:val="23"/>
          <w:w w:val="104"/>
          <w:sz w:val="28"/>
          <w:szCs w:val="28"/>
        </w:rPr>
      </w:pPr>
      <w:r w:rsidRPr="00AB0866">
        <w:rPr>
          <w:w w:val="105"/>
          <w:sz w:val="28"/>
          <w:szCs w:val="28"/>
        </w:rPr>
        <w:t>Местоположение: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Новгородская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область,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Валдайский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spacing w:val="-1"/>
          <w:w w:val="105"/>
          <w:sz w:val="28"/>
          <w:szCs w:val="28"/>
        </w:rPr>
        <w:t>р-н,</w:t>
      </w:r>
      <w:r w:rsidR="0042161E">
        <w:rPr>
          <w:spacing w:val="-1"/>
          <w:w w:val="105"/>
          <w:sz w:val="28"/>
          <w:szCs w:val="28"/>
        </w:rPr>
        <w:t xml:space="preserve"> </w:t>
      </w:r>
      <w:r w:rsidRPr="00AB0866">
        <w:rPr>
          <w:spacing w:val="-1"/>
          <w:w w:val="105"/>
          <w:sz w:val="28"/>
          <w:szCs w:val="28"/>
        </w:rPr>
        <w:t>д.</w:t>
      </w:r>
      <w:r w:rsidR="0042161E">
        <w:rPr>
          <w:spacing w:val="-1"/>
          <w:w w:val="105"/>
          <w:sz w:val="28"/>
          <w:szCs w:val="28"/>
        </w:rPr>
        <w:t> </w:t>
      </w:r>
      <w:r w:rsidRPr="00AB0866">
        <w:rPr>
          <w:w w:val="105"/>
          <w:sz w:val="28"/>
          <w:szCs w:val="28"/>
        </w:rPr>
        <w:t>Яжелбицы</w:t>
      </w:r>
      <w:r w:rsidR="0042161E">
        <w:rPr>
          <w:w w:val="105"/>
          <w:sz w:val="28"/>
          <w:szCs w:val="28"/>
        </w:rPr>
        <w:t>;</w:t>
      </w:r>
    </w:p>
    <w:p w:rsidR="00AB0866" w:rsidRPr="00AB0866" w:rsidRDefault="00AB0866" w:rsidP="00C81559">
      <w:pPr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0866">
        <w:rPr>
          <w:w w:val="105"/>
          <w:sz w:val="28"/>
          <w:szCs w:val="28"/>
        </w:rPr>
        <w:t>Кадастровый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квартал: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53:03:1513001</w:t>
      </w:r>
      <w:r w:rsidR="0042161E">
        <w:rPr>
          <w:w w:val="105"/>
          <w:sz w:val="28"/>
          <w:szCs w:val="28"/>
        </w:rPr>
        <w:t>;</w:t>
      </w:r>
    </w:p>
    <w:p w:rsidR="0042161E" w:rsidRDefault="00AB0866" w:rsidP="00C81559">
      <w:pPr>
        <w:kinsoku w:val="0"/>
        <w:overflowPunct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AB0866">
        <w:rPr>
          <w:w w:val="105"/>
          <w:sz w:val="28"/>
          <w:szCs w:val="28"/>
        </w:rPr>
        <w:t>Кадастровый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номер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земельного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участка: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53:03:1513001:121</w:t>
      </w:r>
      <w:r w:rsidR="0042161E">
        <w:rPr>
          <w:w w:val="105"/>
          <w:sz w:val="28"/>
          <w:szCs w:val="28"/>
        </w:rPr>
        <w:t>;</w:t>
      </w:r>
    </w:p>
    <w:p w:rsidR="00AB0866" w:rsidRPr="00AB0866" w:rsidRDefault="00AB0866" w:rsidP="00C81559">
      <w:pPr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0866">
        <w:rPr>
          <w:w w:val="105"/>
          <w:sz w:val="28"/>
          <w:szCs w:val="28"/>
        </w:rPr>
        <w:t>Система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координат: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МСК-5 (Зона</w:t>
      </w:r>
      <w:r w:rsidR="00854433">
        <w:rPr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2);</w:t>
      </w:r>
    </w:p>
    <w:p w:rsidR="0042161E" w:rsidRDefault="00AB0866" w:rsidP="00C81559">
      <w:pPr>
        <w:tabs>
          <w:tab w:val="left" w:pos="3969"/>
        </w:tabs>
        <w:kinsoku w:val="0"/>
        <w:overflowPunct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  <w:r w:rsidRPr="00AB0866">
        <w:rPr>
          <w:w w:val="105"/>
          <w:sz w:val="28"/>
          <w:szCs w:val="28"/>
        </w:rPr>
        <w:t>Каталог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spacing w:val="-1"/>
          <w:w w:val="105"/>
          <w:sz w:val="28"/>
          <w:szCs w:val="28"/>
        </w:rPr>
        <w:t>координат:</w:t>
      </w:r>
      <w:r w:rsidR="0042161E">
        <w:rPr>
          <w:spacing w:val="-1"/>
          <w:w w:val="105"/>
          <w:sz w:val="28"/>
          <w:szCs w:val="28"/>
        </w:rPr>
        <w:t xml:space="preserve"> </w:t>
      </w:r>
      <w:r w:rsidR="0042161E">
        <w:rPr>
          <w:w w:val="105"/>
          <w:sz w:val="28"/>
          <w:szCs w:val="28"/>
        </w:rPr>
        <w:t>п</w:t>
      </w:r>
      <w:r w:rsidRPr="00AB0866">
        <w:rPr>
          <w:w w:val="105"/>
          <w:sz w:val="28"/>
          <w:szCs w:val="28"/>
        </w:rPr>
        <w:t>риложение 1</w:t>
      </w:r>
      <w:r w:rsidR="0042161E">
        <w:rPr>
          <w:w w:val="105"/>
          <w:sz w:val="28"/>
          <w:szCs w:val="28"/>
        </w:rPr>
        <w:t>;</w:t>
      </w:r>
    </w:p>
    <w:p w:rsidR="00AB0866" w:rsidRDefault="00AB0866" w:rsidP="00C81559">
      <w:pPr>
        <w:tabs>
          <w:tab w:val="left" w:pos="3969"/>
        </w:tabs>
        <w:kinsoku w:val="0"/>
        <w:overflowPunct w:val="0"/>
        <w:autoSpaceDE w:val="0"/>
        <w:autoSpaceDN w:val="0"/>
        <w:adjustRightInd w:val="0"/>
        <w:jc w:val="both"/>
        <w:rPr>
          <w:spacing w:val="-1"/>
          <w:w w:val="105"/>
          <w:sz w:val="28"/>
          <w:szCs w:val="28"/>
        </w:rPr>
      </w:pPr>
      <w:r w:rsidRPr="00AB0866">
        <w:rPr>
          <w:w w:val="105"/>
          <w:sz w:val="28"/>
          <w:szCs w:val="28"/>
        </w:rPr>
        <w:t>Площадь</w:t>
      </w:r>
      <w:r w:rsidR="0042161E">
        <w:rPr>
          <w:w w:val="105"/>
          <w:sz w:val="28"/>
          <w:szCs w:val="28"/>
        </w:rPr>
        <w:t xml:space="preserve"> </w:t>
      </w:r>
      <w:r w:rsidRPr="00AB0866">
        <w:rPr>
          <w:spacing w:val="-1"/>
          <w:w w:val="105"/>
          <w:sz w:val="28"/>
          <w:szCs w:val="28"/>
        </w:rPr>
        <w:t>сервитута:</w:t>
      </w:r>
      <w:r w:rsidR="0042161E">
        <w:rPr>
          <w:spacing w:val="-1"/>
          <w:w w:val="105"/>
          <w:sz w:val="28"/>
          <w:szCs w:val="28"/>
        </w:rPr>
        <w:t xml:space="preserve"> </w:t>
      </w:r>
      <w:r w:rsidRPr="00AB0866">
        <w:rPr>
          <w:w w:val="105"/>
          <w:sz w:val="28"/>
          <w:szCs w:val="28"/>
        </w:rPr>
        <w:t>156</w:t>
      </w:r>
      <w:r w:rsidR="00854433">
        <w:rPr>
          <w:w w:val="105"/>
          <w:sz w:val="28"/>
          <w:szCs w:val="28"/>
        </w:rPr>
        <w:t xml:space="preserve"> </w:t>
      </w:r>
      <w:r w:rsidRPr="00AB0866">
        <w:rPr>
          <w:spacing w:val="-1"/>
          <w:w w:val="105"/>
          <w:sz w:val="28"/>
          <w:szCs w:val="28"/>
        </w:rPr>
        <w:t>кв.м</w:t>
      </w:r>
    </w:p>
    <w:p w:rsidR="00FC003D" w:rsidRPr="00FC003D" w:rsidRDefault="00FC003D" w:rsidP="0042161E">
      <w:pPr>
        <w:tabs>
          <w:tab w:val="left" w:pos="396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pacing w:val="-1"/>
          <w:w w:val="105"/>
          <w:sz w:val="16"/>
          <w:szCs w:val="16"/>
        </w:rPr>
      </w:pPr>
    </w:p>
    <w:p w:rsidR="00FC003D" w:rsidRDefault="001443A2" w:rsidP="00C81559">
      <w:pPr>
        <w:tabs>
          <w:tab w:val="left" w:pos="3969"/>
        </w:tabs>
        <w:kinsoku w:val="0"/>
        <w:overflowPunct w:val="0"/>
        <w:autoSpaceDE w:val="0"/>
        <w:autoSpaceDN w:val="0"/>
        <w:adjustRightInd w:val="0"/>
        <w:jc w:val="both"/>
        <w:rPr>
          <w:noProof/>
          <w:spacing w:val="-1"/>
          <w:w w:val="105"/>
          <w:sz w:val="28"/>
          <w:szCs w:val="28"/>
        </w:rPr>
      </w:pPr>
      <w:r>
        <w:rPr>
          <w:noProof/>
          <w:spacing w:val="-1"/>
          <w:w w:val="105"/>
          <w:sz w:val="28"/>
          <w:szCs w:val="28"/>
        </w:rPr>
        <w:drawing>
          <wp:inline distT="0" distB="0" distL="0" distR="0">
            <wp:extent cx="5953125" cy="409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66" w:rsidRPr="00FC003D" w:rsidRDefault="00AB0866" w:rsidP="00AB0866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  <w:bookmarkStart w:id="0" w:name="_GoBack"/>
      <w:bookmarkEnd w:id="0"/>
    </w:p>
    <w:p w:rsidR="00AB0866" w:rsidRPr="00FC003D" w:rsidRDefault="00AB0866" w:rsidP="0035690A">
      <w:pPr>
        <w:kinsoku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C003D">
        <w:rPr>
          <w:sz w:val="24"/>
          <w:szCs w:val="24"/>
        </w:rPr>
        <w:t>Масштаб</w:t>
      </w:r>
      <w:r w:rsidR="0042161E" w:rsidRPr="00FC003D">
        <w:rPr>
          <w:sz w:val="24"/>
          <w:szCs w:val="24"/>
        </w:rPr>
        <w:t xml:space="preserve"> </w:t>
      </w:r>
      <w:r w:rsidRPr="00FC003D">
        <w:rPr>
          <w:spacing w:val="-1"/>
          <w:sz w:val="24"/>
          <w:szCs w:val="24"/>
        </w:rPr>
        <w:t>1:2000</w:t>
      </w:r>
    </w:p>
    <w:p w:rsidR="00FC003D" w:rsidRPr="00FC003D" w:rsidRDefault="00FC003D" w:rsidP="00FC003D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C003D" w:rsidRDefault="00FC003D" w:rsidP="00C81559">
      <w:pPr>
        <w:shd w:val="clear" w:color="auto" w:fill="FFFFFF"/>
        <w:jc w:val="center"/>
        <w:rPr>
          <w:sz w:val="28"/>
          <w:szCs w:val="28"/>
        </w:rPr>
      </w:pPr>
      <w:r w:rsidRPr="00FC003D">
        <w:rPr>
          <w:sz w:val="28"/>
          <w:szCs w:val="28"/>
        </w:rPr>
        <w:t>Используемые условные знаки и обозначения:</w:t>
      </w:r>
    </w:p>
    <w:p w:rsidR="0035690A" w:rsidRPr="0035690A" w:rsidRDefault="0035690A" w:rsidP="00C81559">
      <w:pPr>
        <w:shd w:val="clear" w:color="auto" w:fill="FFFFFF"/>
        <w:jc w:val="center"/>
        <w:rPr>
          <w:sz w:val="8"/>
          <w:szCs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6727"/>
      </w:tblGrid>
      <w:tr w:rsidR="00C81559" w:rsidRPr="00E100FD" w:rsidTr="00E100FD">
        <w:trPr>
          <w:trHeight w:val="71"/>
        </w:trPr>
        <w:tc>
          <w:tcPr>
            <w:tcW w:w="1701" w:type="dxa"/>
            <w:tcBorders>
              <w:right w:val="single" w:sz="4" w:space="0" w:color="auto"/>
            </w:tcBorders>
          </w:tcPr>
          <w:p w:rsidR="00C81559" w:rsidRPr="00E100FD" w:rsidRDefault="00C81559" w:rsidP="00E100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559" w:rsidRPr="00E100FD" w:rsidRDefault="00C81559" w:rsidP="00E100FD">
            <w:pPr>
              <w:jc w:val="both"/>
              <w:rPr>
                <w:sz w:val="28"/>
                <w:szCs w:val="28"/>
              </w:rPr>
            </w:pPr>
            <w:r w:rsidRPr="00E100FD">
              <w:rPr>
                <w:sz w:val="28"/>
                <w:szCs w:val="28"/>
              </w:rPr>
              <w:t xml:space="preserve">   </w:t>
            </w:r>
            <w:r w:rsidR="00854433" w:rsidRPr="00E100FD">
              <w:rPr>
                <w:sz w:val="28"/>
                <w:szCs w:val="28"/>
              </w:rPr>
              <w:t xml:space="preserve">  </w:t>
            </w:r>
            <w:r w:rsidR="0021270D" w:rsidRPr="00E100FD">
              <w:rPr>
                <w:sz w:val="28"/>
                <w:szCs w:val="28"/>
              </w:rPr>
              <w:t xml:space="preserve"> </w:t>
            </w:r>
            <w:r w:rsidRPr="00E100FD">
              <w:rPr>
                <w:sz w:val="28"/>
                <w:szCs w:val="28"/>
              </w:rPr>
              <w:t>- граница публичного сервитута;</w:t>
            </w:r>
          </w:p>
        </w:tc>
      </w:tr>
    </w:tbl>
    <w:p w:rsidR="00FC003D" w:rsidRPr="00FC003D" w:rsidRDefault="0035690A" w:rsidP="00C81559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.5pt;margin-top:7.4pt;width:83.25pt;height:0;z-index:251657728;mso-position-horizontal-relative:text;mso-position-vertical-relative:text" o:connectortype="straight" strokeweight="1.5pt"/>
        </w:pict>
      </w:r>
      <w:r>
        <w:rPr>
          <w:bCs/>
          <w:sz w:val="28"/>
          <w:szCs w:val="28"/>
        </w:rPr>
        <w:t xml:space="preserve">                   </w:t>
      </w:r>
      <w:r w:rsidR="00C81559" w:rsidRPr="00C81559">
        <w:rPr>
          <w:bCs/>
          <w:sz w:val="28"/>
          <w:szCs w:val="28"/>
        </w:rPr>
        <w:t xml:space="preserve"> </w:t>
      </w:r>
      <w:r w:rsidR="00FC003D" w:rsidRPr="00C81559">
        <w:rPr>
          <w:bCs/>
          <w:sz w:val="28"/>
          <w:szCs w:val="28"/>
        </w:rPr>
        <w:t xml:space="preserve">      </w:t>
      </w:r>
      <w:r w:rsidR="00854433">
        <w:rPr>
          <w:bCs/>
          <w:sz w:val="28"/>
          <w:szCs w:val="28"/>
        </w:rPr>
        <w:t xml:space="preserve">    </w:t>
      </w:r>
      <w:r w:rsidR="00FC003D" w:rsidRPr="00FC003D">
        <w:rPr>
          <w:sz w:val="28"/>
          <w:szCs w:val="28"/>
        </w:rPr>
        <w:t>- граница земельных участков по сведениям ЕГРН;</w:t>
      </w:r>
    </w:p>
    <w:p w:rsidR="00FC003D" w:rsidRPr="00FC003D" w:rsidRDefault="0035690A" w:rsidP="00C81559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32" style="position:absolute;left:0;text-align:left;margin-left:.5pt;margin-top:6.3pt;width:83.25pt;height:.05pt;flip:y;z-index:251658752" o:connectortype="straight"/>
        </w:pict>
      </w:r>
      <w:r>
        <w:rPr>
          <w:bCs/>
          <w:sz w:val="28"/>
          <w:szCs w:val="28"/>
        </w:rPr>
        <w:t xml:space="preserve">                   </w:t>
      </w:r>
      <w:r w:rsidR="00FC003D" w:rsidRPr="00C81559">
        <w:rPr>
          <w:bCs/>
          <w:sz w:val="28"/>
          <w:szCs w:val="28"/>
        </w:rPr>
        <w:t xml:space="preserve">    </w:t>
      </w:r>
      <w:r w:rsidR="00C81559">
        <w:rPr>
          <w:sz w:val="28"/>
          <w:szCs w:val="28"/>
        </w:rPr>
        <w:t xml:space="preserve"> </w:t>
      </w:r>
      <w:r w:rsidR="00FC003D" w:rsidRPr="00C81559">
        <w:rPr>
          <w:sz w:val="28"/>
          <w:szCs w:val="28"/>
        </w:rPr>
        <w:t xml:space="preserve">  </w:t>
      </w:r>
      <w:r w:rsidR="00854433">
        <w:rPr>
          <w:sz w:val="28"/>
          <w:szCs w:val="28"/>
        </w:rPr>
        <w:t xml:space="preserve">    </w:t>
      </w:r>
      <w:r w:rsidR="00FC003D" w:rsidRPr="00FC003D">
        <w:rPr>
          <w:sz w:val="28"/>
          <w:szCs w:val="28"/>
        </w:rPr>
        <w:t>- граница кадастровых кварталов по сведениям ЕГРН;</w:t>
      </w:r>
    </w:p>
    <w:p w:rsidR="00FC003D" w:rsidRPr="00FC003D" w:rsidRDefault="00FC003D" w:rsidP="00C81559">
      <w:pPr>
        <w:shd w:val="clear" w:color="auto" w:fill="FFFFFF"/>
        <w:jc w:val="both"/>
        <w:rPr>
          <w:sz w:val="28"/>
          <w:szCs w:val="28"/>
        </w:rPr>
      </w:pPr>
      <w:r w:rsidRPr="00FC003D">
        <w:rPr>
          <w:b/>
          <w:bCs/>
          <w:sz w:val="28"/>
          <w:szCs w:val="28"/>
        </w:rPr>
        <w:t>•</w:t>
      </w:r>
      <w:r w:rsidRPr="00C81559">
        <w:rPr>
          <w:bCs/>
          <w:sz w:val="28"/>
          <w:szCs w:val="28"/>
        </w:rPr>
        <w:t xml:space="preserve">              </w:t>
      </w:r>
      <w:r w:rsidR="0021270D">
        <w:rPr>
          <w:bCs/>
          <w:sz w:val="28"/>
          <w:szCs w:val="28"/>
        </w:rPr>
        <w:t xml:space="preserve">           </w:t>
      </w:r>
      <w:r w:rsidRPr="00C81559">
        <w:rPr>
          <w:bCs/>
          <w:sz w:val="28"/>
          <w:szCs w:val="28"/>
        </w:rPr>
        <w:t xml:space="preserve">  </w:t>
      </w:r>
      <w:r w:rsidR="0021270D">
        <w:rPr>
          <w:bCs/>
          <w:sz w:val="28"/>
          <w:szCs w:val="28"/>
        </w:rPr>
        <w:t xml:space="preserve"> </w:t>
      </w:r>
      <w:r w:rsidRPr="00C81559">
        <w:rPr>
          <w:bCs/>
          <w:sz w:val="28"/>
          <w:szCs w:val="28"/>
        </w:rPr>
        <w:t xml:space="preserve"> </w:t>
      </w:r>
      <w:r w:rsidRPr="00FC003D">
        <w:rPr>
          <w:sz w:val="28"/>
          <w:szCs w:val="28"/>
        </w:rPr>
        <w:t>- характерная точка границ публичного сервитута;</w:t>
      </w:r>
    </w:p>
    <w:p w:rsidR="00C81559" w:rsidRDefault="00C81559" w:rsidP="00C815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53:03:1513001     </w:t>
      </w:r>
      <w:r w:rsidR="00FC003D" w:rsidRPr="00FC003D">
        <w:rPr>
          <w:sz w:val="28"/>
          <w:szCs w:val="28"/>
        </w:rPr>
        <w:t xml:space="preserve"> - номер кадастрового квартала по сведениям ЕГРН;</w:t>
      </w:r>
    </w:p>
    <w:p w:rsidR="00FC003D" w:rsidRPr="00FC003D" w:rsidRDefault="00FC003D" w:rsidP="00C81559">
      <w:pPr>
        <w:shd w:val="clear" w:color="auto" w:fill="FFFFFF"/>
        <w:jc w:val="both"/>
        <w:rPr>
          <w:sz w:val="28"/>
          <w:szCs w:val="28"/>
        </w:rPr>
      </w:pPr>
      <w:r w:rsidRPr="00FC003D">
        <w:rPr>
          <w:sz w:val="28"/>
          <w:szCs w:val="28"/>
        </w:rPr>
        <w:t xml:space="preserve">:23              </w:t>
      </w:r>
      <w:r w:rsidR="00C81559">
        <w:rPr>
          <w:sz w:val="28"/>
          <w:szCs w:val="28"/>
        </w:rPr>
        <w:t xml:space="preserve">         </w:t>
      </w:r>
      <w:r w:rsidRPr="00FC003D">
        <w:rPr>
          <w:sz w:val="28"/>
          <w:szCs w:val="28"/>
        </w:rPr>
        <w:t xml:space="preserve">  - номер земельного участка по сведениям ЕГРН;</w:t>
      </w:r>
    </w:p>
    <w:p w:rsidR="00FC003D" w:rsidRPr="00FC003D" w:rsidRDefault="00FC003D" w:rsidP="00C81559">
      <w:pPr>
        <w:shd w:val="clear" w:color="auto" w:fill="FFFFFF"/>
        <w:jc w:val="both"/>
        <w:rPr>
          <w:sz w:val="28"/>
          <w:szCs w:val="28"/>
        </w:rPr>
      </w:pPr>
      <w:r w:rsidRPr="00FC003D">
        <w:rPr>
          <w:sz w:val="28"/>
          <w:szCs w:val="28"/>
        </w:rPr>
        <w:t xml:space="preserve">1                </w:t>
      </w:r>
      <w:r w:rsidR="00854433">
        <w:rPr>
          <w:sz w:val="28"/>
          <w:szCs w:val="28"/>
        </w:rPr>
        <w:t xml:space="preserve">          </w:t>
      </w:r>
      <w:r w:rsidR="0021270D">
        <w:rPr>
          <w:sz w:val="28"/>
          <w:szCs w:val="28"/>
        </w:rPr>
        <w:t xml:space="preserve"> </w:t>
      </w:r>
      <w:r w:rsidRPr="00FC003D">
        <w:rPr>
          <w:sz w:val="28"/>
          <w:szCs w:val="28"/>
        </w:rPr>
        <w:t xml:space="preserve"> - номер поворотной точки границы публичного сервитута.</w:t>
      </w:r>
    </w:p>
    <w:p w:rsidR="00AB0866" w:rsidRDefault="00AB0866" w:rsidP="00854433">
      <w:pPr>
        <w:tabs>
          <w:tab w:val="left" w:pos="104"/>
        </w:tabs>
        <w:kinsoku w:val="0"/>
        <w:overflowPunct w:val="0"/>
        <w:autoSpaceDE w:val="0"/>
        <w:autoSpaceDN w:val="0"/>
        <w:adjustRightInd w:val="0"/>
        <w:ind w:firstLine="709"/>
        <w:jc w:val="right"/>
        <w:rPr>
          <w:w w:val="105"/>
          <w:sz w:val="28"/>
          <w:szCs w:val="28"/>
        </w:rPr>
      </w:pPr>
    </w:p>
    <w:p w:rsidR="00913620" w:rsidRDefault="00913620" w:rsidP="00913620">
      <w:pPr>
        <w:tabs>
          <w:tab w:val="left" w:pos="104"/>
        </w:tabs>
        <w:kinsoku w:val="0"/>
        <w:overflowPunct w:val="0"/>
        <w:autoSpaceDE w:val="0"/>
        <w:autoSpaceDN w:val="0"/>
        <w:adjustRightInd w:val="0"/>
        <w:spacing w:line="240" w:lineRule="exact"/>
        <w:ind w:left="5670"/>
        <w:jc w:val="right"/>
        <w:rPr>
          <w:w w:val="105"/>
          <w:sz w:val="24"/>
          <w:szCs w:val="24"/>
        </w:rPr>
      </w:pPr>
    </w:p>
    <w:p w:rsidR="003E150B" w:rsidRPr="00913620" w:rsidRDefault="003E150B" w:rsidP="00913620">
      <w:pPr>
        <w:tabs>
          <w:tab w:val="left" w:pos="104"/>
        </w:tabs>
        <w:kinsoku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rPr>
          <w:w w:val="105"/>
          <w:sz w:val="24"/>
          <w:szCs w:val="24"/>
        </w:rPr>
      </w:pPr>
      <w:r w:rsidRPr="00913620">
        <w:rPr>
          <w:w w:val="105"/>
          <w:sz w:val="24"/>
          <w:szCs w:val="24"/>
        </w:rPr>
        <w:lastRenderedPageBreak/>
        <w:t>Приложение 1</w:t>
      </w:r>
    </w:p>
    <w:p w:rsidR="003E150B" w:rsidRPr="00913620" w:rsidRDefault="003E150B" w:rsidP="00913620">
      <w:pPr>
        <w:kinsoku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913620">
        <w:rPr>
          <w:sz w:val="24"/>
          <w:szCs w:val="24"/>
        </w:rPr>
        <w:t>к схеме границ размещения</w:t>
      </w:r>
    </w:p>
    <w:p w:rsidR="003E150B" w:rsidRPr="00913620" w:rsidRDefault="003E150B" w:rsidP="00913620">
      <w:pPr>
        <w:kinsoku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913620">
        <w:rPr>
          <w:sz w:val="24"/>
          <w:szCs w:val="24"/>
        </w:rPr>
        <w:t>публичного сервитута</w:t>
      </w:r>
    </w:p>
    <w:p w:rsidR="003E150B" w:rsidRPr="00913620" w:rsidRDefault="003E150B" w:rsidP="00913620">
      <w:pPr>
        <w:kinsoku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rPr>
          <w:bCs/>
          <w:iCs/>
          <w:sz w:val="24"/>
          <w:szCs w:val="24"/>
        </w:rPr>
      </w:pPr>
      <w:r w:rsidRPr="00913620">
        <w:rPr>
          <w:bCs/>
          <w:iCs/>
          <w:sz w:val="24"/>
          <w:szCs w:val="24"/>
        </w:rPr>
        <w:t xml:space="preserve">объект: </w:t>
      </w:r>
      <w:r w:rsidRPr="00913620">
        <w:rPr>
          <w:bCs/>
          <w:iCs/>
          <w:spacing w:val="-1"/>
          <w:sz w:val="24"/>
          <w:szCs w:val="24"/>
        </w:rPr>
        <w:t xml:space="preserve">«ВЛ-0,4 </w:t>
      </w:r>
      <w:r w:rsidRPr="00913620">
        <w:rPr>
          <w:bCs/>
          <w:iCs/>
          <w:sz w:val="24"/>
          <w:szCs w:val="24"/>
        </w:rPr>
        <w:t>кВЛ-2ТП-10/0,4кВ</w:t>
      </w:r>
    </w:p>
    <w:p w:rsidR="003E150B" w:rsidRPr="00913620" w:rsidRDefault="003E150B" w:rsidP="00913620">
      <w:pPr>
        <w:kinsoku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913620">
        <w:rPr>
          <w:bCs/>
          <w:iCs/>
          <w:sz w:val="24"/>
          <w:szCs w:val="24"/>
        </w:rPr>
        <w:t>ж.дом Яжелбицы»</w:t>
      </w:r>
    </w:p>
    <w:p w:rsidR="003E150B" w:rsidRPr="00AB0866" w:rsidRDefault="003E150B" w:rsidP="00854433">
      <w:pPr>
        <w:tabs>
          <w:tab w:val="left" w:pos="104"/>
        </w:tabs>
        <w:kinsoku w:val="0"/>
        <w:overflowPunct w:val="0"/>
        <w:autoSpaceDE w:val="0"/>
        <w:autoSpaceDN w:val="0"/>
        <w:adjustRightInd w:val="0"/>
        <w:ind w:firstLine="709"/>
        <w:jc w:val="right"/>
        <w:rPr>
          <w:w w:val="105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25"/>
        <w:gridCol w:w="2338"/>
        <w:gridCol w:w="2126"/>
        <w:gridCol w:w="2985"/>
      </w:tblGrid>
      <w:tr w:rsidR="00AB0866" w:rsidRPr="00854433" w:rsidTr="0085443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4433">
              <w:rPr>
                <w:b/>
                <w:spacing w:val="-1"/>
                <w:sz w:val="24"/>
                <w:szCs w:val="24"/>
              </w:rPr>
              <w:t>Система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координат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МСК-53,</w:t>
            </w:r>
            <w:r w:rsid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z w:val="24"/>
                <w:szCs w:val="24"/>
              </w:rPr>
              <w:t>зона2</w:t>
            </w:r>
          </w:p>
        </w:tc>
      </w:tr>
      <w:tr w:rsidR="00AB0866" w:rsidRPr="00854433" w:rsidTr="0085443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4433">
              <w:rPr>
                <w:b/>
                <w:sz w:val="24"/>
                <w:szCs w:val="24"/>
              </w:rPr>
              <w:t>Метод</w:t>
            </w:r>
            <w:r w:rsidR="00854433" w:rsidRPr="00854433">
              <w:rPr>
                <w:b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определения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координат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характерных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z w:val="24"/>
                <w:szCs w:val="24"/>
              </w:rPr>
              <w:t>точек</w:t>
            </w:r>
            <w:r w:rsidR="00854433" w:rsidRPr="00854433">
              <w:rPr>
                <w:b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границ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z w:val="24"/>
                <w:szCs w:val="24"/>
              </w:rPr>
              <w:t>-</w:t>
            </w:r>
            <w:r w:rsidR="00854433" w:rsidRPr="00854433">
              <w:rPr>
                <w:b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аналитический</w:t>
            </w:r>
          </w:p>
        </w:tc>
      </w:tr>
      <w:tr w:rsidR="00AB0866" w:rsidRPr="00854433" w:rsidTr="0085443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4433">
              <w:rPr>
                <w:b/>
                <w:sz w:val="24"/>
                <w:szCs w:val="24"/>
              </w:rPr>
              <w:t>Площадь</w:t>
            </w:r>
            <w:r w:rsidR="00854433" w:rsidRPr="00854433">
              <w:rPr>
                <w:b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публичного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сервитута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z w:val="24"/>
                <w:szCs w:val="24"/>
              </w:rPr>
              <w:t>156</w:t>
            </w:r>
            <w:r w:rsidR="00854433" w:rsidRPr="00854433">
              <w:rPr>
                <w:b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кв.</w:t>
            </w:r>
            <w:r w:rsidRPr="00854433">
              <w:rPr>
                <w:b/>
                <w:sz w:val="24"/>
                <w:szCs w:val="24"/>
              </w:rPr>
              <w:t>м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4"/>
                <w:szCs w:val="24"/>
              </w:rPr>
            </w:pPr>
            <w:r w:rsidRPr="00854433">
              <w:rPr>
                <w:b/>
                <w:spacing w:val="-1"/>
                <w:sz w:val="24"/>
                <w:szCs w:val="24"/>
              </w:rPr>
              <w:t>Обозначение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характерных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точек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23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4433">
              <w:rPr>
                <w:b/>
                <w:spacing w:val="-1"/>
                <w:sz w:val="24"/>
                <w:szCs w:val="24"/>
              </w:rPr>
              <w:t>Координаты,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4"/>
                <w:szCs w:val="24"/>
              </w:rPr>
            </w:pPr>
            <w:r w:rsidRPr="00854433">
              <w:rPr>
                <w:b/>
                <w:spacing w:val="-1"/>
                <w:sz w:val="24"/>
                <w:szCs w:val="24"/>
              </w:rPr>
              <w:t>Средняя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квадратическая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z w:val="24"/>
                <w:szCs w:val="24"/>
              </w:rPr>
              <w:t>погрешность</w:t>
            </w:r>
            <w:r w:rsidR="00854433" w:rsidRPr="00854433">
              <w:rPr>
                <w:b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определения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координат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характерных</w:t>
            </w:r>
            <w:r w:rsidR="00854433" w:rsidRPr="00854433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4433">
              <w:rPr>
                <w:b/>
                <w:sz w:val="24"/>
                <w:szCs w:val="24"/>
              </w:rPr>
              <w:t>точек</w:t>
            </w:r>
            <w:r w:rsidR="00854433" w:rsidRPr="00854433">
              <w:rPr>
                <w:b/>
                <w:sz w:val="24"/>
                <w:szCs w:val="24"/>
              </w:rPr>
              <w:t xml:space="preserve"> </w:t>
            </w:r>
            <w:r w:rsidRPr="00854433">
              <w:rPr>
                <w:b/>
                <w:spacing w:val="-1"/>
                <w:sz w:val="24"/>
                <w:szCs w:val="24"/>
              </w:rPr>
              <w:t>границ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4433">
              <w:rPr>
                <w:b/>
                <w:sz w:val="24"/>
                <w:szCs w:val="24"/>
              </w:rPr>
              <w:t>X,м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4433">
              <w:rPr>
                <w:b/>
                <w:sz w:val="24"/>
                <w:szCs w:val="24"/>
              </w:rPr>
              <w:t>Y,м</w:t>
            </w: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866" w:rsidRPr="00854433" w:rsidTr="0085443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521699,86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2280176,15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521700,65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2280177,98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521684,61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2280184,85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521669,83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2280208,07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521655,39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2280236,80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521653,61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2280235,91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521668,08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2280207,08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8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521683,25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2280183,25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  <w:tr w:rsidR="00AB0866" w:rsidRPr="00854433" w:rsidTr="00854433">
        <w:trPr>
          <w:trHeight w:val="20"/>
        </w:trPr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521699,86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2280176,15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866" w:rsidRPr="00854433" w:rsidRDefault="00AB0866" w:rsidP="0085443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4433">
              <w:rPr>
                <w:sz w:val="24"/>
                <w:szCs w:val="24"/>
              </w:rPr>
              <w:t>0,1</w:t>
            </w:r>
          </w:p>
        </w:tc>
      </w:tr>
    </w:tbl>
    <w:p w:rsidR="00AB0866" w:rsidRPr="00854433" w:rsidRDefault="00AB0866" w:rsidP="00AB0866">
      <w:pPr>
        <w:ind w:firstLine="709"/>
        <w:jc w:val="both"/>
        <w:rPr>
          <w:sz w:val="2"/>
          <w:szCs w:val="2"/>
        </w:rPr>
      </w:pPr>
    </w:p>
    <w:sectPr w:rsidR="00AB0866" w:rsidRPr="00854433" w:rsidSect="00AB0866">
      <w:headerReference w:type="default" r:id="rId11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69" w:rsidRDefault="00214369">
      <w:r>
        <w:separator/>
      </w:r>
    </w:p>
  </w:endnote>
  <w:endnote w:type="continuationSeparator" w:id="0">
    <w:p w:rsidR="00214369" w:rsidRDefault="0021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69" w:rsidRDefault="00214369">
      <w:r>
        <w:separator/>
      </w:r>
    </w:p>
  </w:footnote>
  <w:footnote w:type="continuationSeparator" w:id="0">
    <w:p w:rsidR="00214369" w:rsidRDefault="00214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443A2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left="2747" w:hanging="104"/>
      </w:pPr>
      <w:rPr>
        <w:rFonts w:ascii="Times New Roman" w:hAnsi="Times New Roman" w:cs="Times New Roman"/>
        <w:b w:val="0"/>
        <w:bCs w:val="0"/>
        <w:w w:val="103"/>
        <w:sz w:val="17"/>
        <w:szCs w:val="17"/>
      </w:rPr>
    </w:lvl>
    <w:lvl w:ilvl="1">
      <w:numFmt w:val="bullet"/>
      <w:lvlText w:val="•"/>
      <w:lvlJc w:val="left"/>
      <w:pPr>
        <w:ind w:left="3470" w:hanging="104"/>
      </w:pPr>
    </w:lvl>
    <w:lvl w:ilvl="2">
      <w:numFmt w:val="bullet"/>
      <w:lvlText w:val="•"/>
      <w:lvlJc w:val="left"/>
      <w:pPr>
        <w:ind w:left="4193" w:hanging="104"/>
      </w:pPr>
    </w:lvl>
    <w:lvl w:ilvl="3">
      <w:numFmt w:val="bullet"/>
      <w:lvlText w:val="•"/>
      <w:lvlJc w:val="left"/>
      <w:pPr>
        <w:ind w:left="4917" w:hanging="104"/>
      </w:pPr>
    </w:lvl>
    <w:lvl w:ilvl="4">
      <w:numFmt w:val="bullet"/>
      <w:lvlText w:val="•"/>
      <w:lvlJc w:val="left"/>
      <w:pPr>
        <w:ind w:left="5640" w:hanging="104"/>
      </w:pPr>
    </w:lvl>
    <w:lvl w:ilvl="5">
      <w:numFmt w:val="bullet"/>
      <w:lvlText w:val="•"/>
      <w:lvlJc w:val="left"/>
      <w:pPr>
        <w:ind w:left="6363" w:hanging="104"/>
      </w:pPr>
    </w:lvl>
    <w:lvl w:ilvl="6">
      <w:numFmt w:val="bullet"/>
      <w:lvlText w:val="•"/>
      <w:lvlJc w:val="left"/>
      <w:pPr>
        <w:ind w:left="7086" w:hanging="104"/>
      </w:pPr>
    </w:lvl>
    <w:lvl w:ilvl="7">
      <w:numFmt w:val="bullet"/>
      <w:lvlText w:val="•"/>
      <w:lvlJc w:val="left"/>
      <w:pPr>
        <w:ind w:left="7810" w:hanging="104"/>
      </w:pPr>
    </w:lvl>
    <w:lvl w:ilvl="8">
      <w:numFmt w:val="bullet"/>
      <w:lvlText w:val="•"/>
      <w:lvlJc w:val="left"/>
      <w:pPr>
        <w:ind w:left="8533" w:hanging="104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103" w:hanging="104"/>
      </w:pPr>
      <w:rPr>
        <w:rFonts w:ascii="Times New Roman" w:hAnsi="Times New Roman" w:cs="Times New Roman"/>
        <w:b w:val="0"/>
        <w:bCs w:val="0"/>
        <w:w w:val="103"/>
        <w:sz w:val="17"/>
        <w:szCs w:val="17"/>
      </w:rPr>
    </w:lvl>
    <w:lvl w:ilvl="1">
      <w:numFmt w:val="bullet"/>
      <w:lvlText w:val="•"/>
      <w:lvlJc w:val="left"/>
      <w:pPr>
        <w:ind w:left="533" w:hanging="104"/>
      </w:pPr>
    </w:lvl>
    <w:lvl w:ilvl="2">
      <w:numFmt w:val="bullet"/>
      <w:lvlText w:val="•"/>
      <w:lvlJc w:val="left"/>
      <w:pPr>
        <w:ind w:left="963" w:hanging="104"/>
      </w:pPr>
    </w:lvl>
    <w:lvl w:ilvl="3">
      <w:numFmt w:val="bullet"/>
      <w:lvlText w:val="•"/>
      <w:lvlJc w:val="left"/>
      <w:pPr>
        <w:ind w:left="1393" w:hanging="104"/>
      </w:pPr>
    </w:lvl>
    <w:lvl w:ilvl="4">
      <w:numFmt w:val="bullet"/>
      <w:lvlText w:val="•"/>
      <w:lvlJc w:val="left"/>
      <w:pPr>
        <w:ind w:left="1822" w:hanging="104"/>
      </w:pPr>
    </w:lvl>
    <w:lvl w:ilvl="5">
      <w:numFmt w:val="bullet"/>
      <w:lvlText w:val="•"/>
      <w:lvlJc w:val="left"/>
      <w:pPr>
        <w:ind w:left="2252" w:hanging="104"/>
      </w:pPr>
    </w:lvl>
    <w:lvl w:ilvl="6">
      <w:numFmt w:val="bullet"/>
      <w:lvlText w:val="•"/>
      <w:lvlJc w:val="left"/>
      <w:pPr>
        <w:ind w:left="2682" w:hanging="104"/>
      </w:pPr>
    </w:lvl>
    <w:lvl w:ilvl="7">
      <w:numFmt w:val="bullet"/>
      <w:lvlText w:val="•"/>
      <w:lvlJc w:val="left"/>
      <w:pPr>
        <w:ind w:left="3112" w:hanging="104"/>
      </w:pPr>
    </w:lvl>
    <w:lvl w:ilvl="8">
      <w:numFmt w:val="bullet"/>
      <w:lvlText w:val="•"/>
      <w:lvlJc w:val="left"/>
      <w:pPr>
        <w:ind w:left="3542" w:hanging="104"/>
      </w:pPr>
    </w:lvl>
  </w:abstractNum>
  <w:abstractNum w:abstractNumId="3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4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43A2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270D"/>
    <w:rsid w:val="00213EC9"/>
    <w:rsid w:val="0021436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647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5690A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50B"/>
    <w:rsid w:val="003E1EE2"/>
    <w:rsid w:val="003E2BD3"/>
    <w:rsid w:val="003E3364"/>
    <w:rsid w:val="003E4623"/>
    <w:rsid w:val="003E46DB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161E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4433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620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0866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559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00FD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768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03D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111"/>
        <o:r id="V:Rule4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6DE1-F0FD-44A8-ADAE-83408116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2024-05-08T09:08:00Z</cp:lastPrinted>
  <dcterms:created xsi:type="dcterms:W3CDTF">2024-05-08T12:43:00Z</dcterms:created>
  <dcterms:modified xsi:type="dcterms:W3CDTF">2024-05-08T12:43:00Z</dcterms:modified>
</cp:coreProperties>
</file>