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0A2FAC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634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0A2FAC" w:rsidRDefault="000A2FAC" w:rsidP="000A2FAC">
      <w:pPr>
        <w:spacing w:line="240" w:lineRule="exact"/>
        <w:jc w:val="center"/>
        <w:rPr>
          <w:b/>
          <w:bCs/>
          <w:sz w:val="28"/>
          <w:szCs w:val="28"/>
        </w:rPr>
      </w:pPr>
      <w:r w:rsidRPr="006D3D2B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Методики балльной</w:t>
      </w:r>
    </w:p>
    <w:p w:rsidR="000A2FAC" w:rsidRDefault="000A2FAC" w:rsidP="000A2FAC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оценки качества финансового менеджмента</w:t>
      </w:r>
    </w:p>
    <w:p w:rsidR="000A2FAC" w:rsidRDefault="000A2FAC" w:rsidP="000A2FAC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главных распорядителей средств бюджета</w:t>
      </w:r>
    </w:p>
    <w:p w:rsidR="000A2FAC" w:rsidRDefault="000A2FAC" w:rsidP="000A2FAC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Валдайского муниципального округа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Pr="00251891" w:rsidRDefault="000A2FAC" w:rsidP="000A2FAC">
      <w:pPr>
        <w:ind w:firstLine="709"/>
        <w:jc w:val="both"/>
        <w:rPr>
          <w:b/>
          <w:sz w:val="28"/>
          <w:szCs w:val="28"/>
        </w:rPr>
      </w:pPr>
      <w:r w:rsidRPr="000E4C58">
        <w:rPr>
          <w:sz w:val="28"/>
          <w:szCs w:val="28"/>
        </w:rPr>
        <w:t xml:space="preserve">В целях повышения эффективности расходов бюджета </w:t>
      </w:r>
      <w:r>
        <w:rPr>
          <w:sz w:val="28"/>
          <w:szCs w:val="28"/>
        </w:rPr>
        <w:t>Валдайского</w:t>
      </w:r>
      <w:r w:rsidRPr="000E4C58">
        <w:rPr>
          <w:sz w:val="28"/>
          <w:szCs w:val="28"/>
        </w:rPr>
        <w:t xml:space="preserve"> муниципального округа Администрация </w:t>
      </w:r>
      <w:r>
        <w:rPr>
          <w:sz w:val="28"/>
          <w:szCs w:val="28"/>
        </w:rPr>
        <w:t>Валдайского</w:t>
      </w:r>
      <w:r w:rsidRPr="000E4C58">
        <w:rPr>
          <w:sz w:val="28"/>
          <w:szCs w:val="28"/>
        </w:rPr>
        <w:t xml:space="preserve"> муниципального округа </w:t>
      </w:r>
      <w:r w:rsidRPr="00251891">
        <w:rPr>
          <w:b/>
          <w:sz w:val="28"/>
          <w:szCs w:val="28"/>
        </w:rPr>
        <w:t>ПОСТАНОВЛЯЕТ: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0E4C58">
        <w:rPr>
          <w:sz w:val="28"/>
          <w:szCs w:val="28"/>
        </w:rPr>
        <w:t xml:space="preserve">1. Утвердить прилагаемую методику балльной оценки качества финансового менеджмента главных распорядителей средств бюджета </w:t>
      </w:r>
      <w:r>
        <w:rPr>
          <w:sz w:val="28"/>
          <w:szCs w:val="28"/>
        </w:rPr>
        <w:t>Валдайского</w:t>
      </w:r>
      <w:r w:rsidRPr="000E4C58">
        <w:rPr>
          <w:sz w:val="28"/>
          <w:szCs w:val="28"/>
        </w:rPr>
        <w:t xml:space="preserve"> муниципального округа (далее - Методика). </w:t>
      </w:r>
    </w:p>
    <w:p w:rsidR="000A2FAC" w:rsidRPr="00892E41" w:rsidRDefault="000A2FAC" w:rsidP="000A2FAC">
      <w:pPr>
        <w:ind w:firstLine="709"/>
        <w:jc w:val="both"/>
        <w:rPr>
          <w:sz w:val="28"/>
          <w:szCs w:val="28"/>
        </w:rPr>
      </w:pPr>
      <w:r w:rsidRPr="000E4C58">
        <w:rPr>
          <w:sz w:val="28"/>
          <w:szCs w:val="28"/>
        </w:rPr>
        <w:t>2. Признать утратившим силу постановлени</w:t>
      </w:r>
      <w:r>
        <w:rPr>
          <w:sz w:val="28"/>
          <w:szCs w:val="28"/>
        </w:rPr>
        <w:t>я</w:t>
      </w:r>
      <w:r w:rsidRPr="000E4C5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Валдайского</w:t>
      </w:r>
      <w:r w:rsidRPr="000E4C58">
        <w:rPr>
          <w:sz w:val="28"/>
          <w:szCs w:val="28"/>
        </w:rPr>
        <w:t xml:space="preserve"> муниципального района</w:t>
      </w:r>
      <w:r w:rsidRPr="00892E41">
        <w:rPr>
          <w:sz w:val="28"/>
          <w:szCs w:val="28"/>
        </w:rPr>
        <w:t>:</w:t>
      </w:r>
    </w:p>
    <w:p w:rsidR="000A2FAC" w:rsidRPr="000A2FAC" w:rsidRDefault="000A2FAC" w:rsidP="000A2FAC">
      <w:pPr>
        <w:ind w:firstLine="709"/>
        <w:jc w:val="both"/>
        <w:rPr>
          <w:sz w:val="28"/>
          <w:szCs w:val="28"/>
        </w:rPr>
      </w:pPr>
      <w:r w:rsidRPr="000E4C58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0E4C58">
        <w:rPr>
          <w:sz w:val="28"/>
          <w:szCs w:val="28"/>
        </w:rPr>
        <w:t>.</w:t>
      </w:r>
      <w:r>
        <w:rPr>
          <w:sz w:val="28"/>
          <w:szCs w:val="28"/>
        </w:rPr>
        <w:t>12.2013</w:t>
      </w:r>
      <w:r w:rsidRPr="000E4C5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E4C58">
        <w:rPr>
          <w:sz w:val="28"/>
          <w:szCs w:val="28"/>
        </w:rPr>
        <w:t>1</w:t>
      </w:r>
      <w:r>
        <w:rPr>
          <w:sz w:val="28"/>
          <w:szCs w:val="28"/>
        </w:rPr>
        <w:t>99</w:t>
      </w:r>
      <w:r w:rsidRPr="000E4C58">
        <w:rPr>
          <w:sz w:val="28"/>
          <w:szCs w:val="28"/>
        </w:rPr>
        <w:t>9 «Об утверждении Методики балльной оценки качества финансового менеджмента главных распорядителей средств бюджета муниципального района».</w:t>
      </w:r>
    </w:p>
    <w:p w:rsidR="000A2FAC" w:rsidRPr="00CA20D1" w:rsidRDefault="000A2FAC" w:rsidP="000A2F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11.08.2023 № 1521 «О внесении изменений в постановление Администрации Валдайского муниципального района от 24.12.2013 № 1999». 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4C58">
        <w:rPr>
          <w:sz w:val="28"/>
          <w:szCs w:val="28"/>
        </w:rPr>
        <w:t>. Опубликовать постановление в бюллетене «</w:t>
      </w:r>
      <w:r>
        <w:rPr>
          <w:sz w:val="28"/>
          <w:szCs w:val="28"/>
        </w:rPr>
        <w:t>Валдайский Вестник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0A2FAC" w:rsidRDefault="000A2FAC">
      <w:pPr>
        <w:rPr>
          <w:b/>
          <w:sz w:val="28"/>
        </w:rPr>
      </w:pPr>
      <w:r>
        <w:rPr>
          <w:b/>
          <w:sz w:val="28"/>
        </w:rPr>
        <w:br w:type="page"/>
      </w:r>
    </w:p>
    <w:p w:rsidR="000A2FAC" w:rsidRPr="000A2FAC" w:rsidRDefault="000A2FAC" w:rsidP="000A2FAC">
      <w:pPr>
        <w:spacing w:line="240" w:lineRule="exact"/>
        <w:ind w:left="5387"/>
        <w:jc w:val="center"/>
        <w:rPr>
          <w:sz w:val="24"/>
          <w:szCs w:val="24"/>
        </w:rPr>
      </w:pPr>
      <w:r w:rsidRPr="000A2FAC">
        <w:rPr>
          <w:sz w:val="24"/>
          <w:szCs w:val="24"/>
        </w:rPr>
        <w:lastRenderedPageBreak/>
        <w:t>УТВЕРЖДЕНА</w:t>
      </w:r>
    </w:p>
    <w:p w:rsidR="000A2FAC" w:rsidRPr="000A2FAC" w:rsidRDefault="000A2FAC" w:rsidP="000A2FAC">
      <w:pPr>
        <w:spacing w:line="240" w:lineRule="exact"/>
        <w:ind w:left="5387"/>
        <w:jc w:val="center"/>
        <w:rPr>
          <w:sz w:val="24"/>
          <w:szCs w:val="24"/>
        </w:rPr>
      </w:pPr>
      <w:r w:rsidRPr="000A2FAC">
        <w:rPr>
          <w:sz w:val="24"/>
          <w:szCs w:val="24"/>
        </w:rPr>
        <w:t xml:space="preserve">постановлением Администрации  </w:t>
      </w:r>
    </w:p>
    <w:p w:rsidR="000A2FAC" w:rsidRPr="000A2FAC" w:rsidRDefault="000A2FAC" w:rsidP="000A2FAC">
      <w:pPr>
        <w:spacing w:line="240" w:lineRule="exact"/>
        <w:ind w:left="5387"/>
        <w:jc w:val="center"/>
        <w:rPr>
          <w:sz w:val="24"/>
          <w:szCs w:val="24"/>
        </w:rPr>
      </w:pPr>
      <w:r w:rsidRPr="000A2FAC">
        <w:rPr>
          <w:sz w:val="24"/>
          <w:szCs w:val="24"/>
        </w:rPr>
        <w:t xml:space="preserve">муниципального округа </w:t>
      </w:r>
    </w:p>
    <w:p w:rsidR="000A2FAC" w:rsidRDefault="000A2FAC" w:rsidP="000A2FAC">
      <w:pPr>
        <w:spacing w:line="240" w:lineRule="exact"/>
        <w:ind w:left="5387"/>
        <w:jc w:val="center"/>
        <w:rPr>
          <w:sz w:val="24"/>
          <w:szCs w:val="24"/>
        </w:rPr>
      </w:pPr>
      <w:r w:rsidRPr="000A2FAC">
        <w:rPr>
          <w:sz w:val="24"/>
          <w:szCs w:val="24"/>
        </w:rPr>
        <w:t>от</w:t>
      </w:r>
      <w:r>
        <w:rPr>
          <w:sz w:val="24"/>
          <w:szCs w:val="24"/>
        </w:rPr>
        <w:t xml:space="preserve"> 17.03.2026 </w:t>
      </w:r>
      <w:r w:rsidRPr="000A2FAC">
        <w:rPr>
          <w:sz w:val="24"/>
          <w:szCs w:val="24"/>
        </w:rPr>
        <w:t>№</w:t>
      </w:r>
      <w:r>
        <w:rPr>
          <w:sz w:val="24"/>
          <w:szCs w:val="24"/>
        </w:rPr>
        <w:t xml:space="preserve"> 634</w:t>
      </w:r>
    </w:p>
    <w:p w:rsidR="000A2FAC" w:rsidRDefault="000A2FAC" w:rsidP="000A2FAC">
      <w:pPr>
        <w:spacing w:line="240" w:lineRule="exact"/>
        <w:ind w:left="5387"/>
        <w:jc w:val="center"/>
        <w:rPr>
          <w:sz w:val="24"/>
          <w:szCs w:val="24"/>
        </w:rPr>
      </w:pPr>
    </w:p>
    <w:p w:rsidR="000A2FAC" w:rsidRPr="000A2FAC" w:rsidRDefault="000A2FAC" w:rsidP="000A2FAC">
      <w:pPr>
        <w:spacing w:line="240" w:lineRule="exact"/>
        <w:ind w:left="5387"/>
        <w:jc w:val="center"/>
        <w:rPr>
          <w:sz w:val="24"/>
          <w:szCs w:val="24"/>
        </w:rPr>
      </w:pPr>
    </w:p>
    <w:p w:rsidR="000A2FAC" w:rsidRDefault="000A2FAC" w:rsidP="000A2FAC">
      <w:pPr>
        <w:ind w:firstLine="709"/>
        <w:jc w:val="center"/>
        <w:rPr>
          <w:b/>
          <w:sz w:val="28"/>
          <w:szCs w:val="28"/>
        </w:rPr>
      </w:pPr>
      <w:r w:rsidRPr="00D84073">
        <w:rPr>
          <w:b/>
          <w:sz w:val="28"/>
          <w:szCs w:val="28"/>
        </w:rPr>
        <w:t>МЕТОДИКА</w:t>
      </w:r>
    </w:p>
    <w:p w:rsidR="000A2FAC" w:rsidRPr="00D84073" w:rsidRDefault="000A2FAC" w:rsidP="000A2FAC">
      <w:pPr>
        <w:spacing w:line="240" w:lineRule="exact"/>
        <w:jc w:val="center"/>
        <w:rPr>
          <w:b/>
          <w:sz w:val="28"/>
          <w:szCs w:val="28"/>
        </w:rPr>
      </w:pPr>
      <w:r w:rsidRPr="00D84073">
        <w:rPr>
          <w:b/>
          <w:sz w:val="28"/>
          <w:szCs w:val="28"/>
        </w:rPr>
        <w:t xml:space="preserve">балльной оценки качества финансового менеджмента главных распорядителей средств бюджета </w:t>
      </w:r>
      <w:r>
        <w:rPr>
          <w:b/>
          <w:sz w:val="28"/>
          <w:szCs w:val="28"/>
        </w:rPr>
        <w:t>Валдайского</w:t>
      </w:r>
      <w:r w:rsidRPr="00D84073">
        <w:rPr>
          <w:b/>
          <w:sz w:val="28"/>
          <w:szCs w:val="28"/>
        </w:rPr>
        <w:t xml:space="preserve"> муниципального округа 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 xml:space="preserve">1. Настоящая Методика балльной оценки качества финансового менеджмента главных распорядителей средств бюджета </w:t>
      </w:r>
      <w:r>
        <w:rPr>
          <w:sz w:val="28"/>
          <w:szCs w:val="28"/>
        </w:rPr>
        <w:t>Валдайского</w:t>
      </w:r>
      <w:r w:rsidRPr="00C26D1F">
        <w:rPr>
          <w:sz w:val="28"/>
          <w:szCs w:val="28"/>
        </w:rPr>
        <w:t xml:space="preserve"> муниципального округа (далее – Методика) разработана в целях проведения мониторинга оценки качества финансового менеджмента главных распорядителей средств бюджета </w:t>
      </w:r>
      <w:r>
        <w:rPr>
          <w:sz w:val="28"/>
          <w:szCs w:val="28"/>
        </w:rPr>
        <w:t>Валдайского</w:t>
      </w:r>
      <w:r w:rsidRPr="00C26D1F">
        <w:rPr>
          <w:sz w:val="28"/>
          <w:szCs w:val="28"/>
        </w:rPr>
        <w:t xml:space="preserve"> муниципального округа (далее – ГРБС) и формирования показателей балльной оценки качества финансового менеджмента ГРБС, применяемых для определения итоговой оценки качества финансового менеджмента ГРБС. </w:t>
      </w:r>
    </w:p>
    <w:p w:rsidR="000A2FAC" w:rsidRPr="00C26D1F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>2. Оценка качества финансового менеджмента ГРБС проводится с целью: определения текущего уровня оценки качества финансового менеджмента ГРБС; анализа изменений качества финансового менеджмента ГРБС; определения направлений финансового менеджмента ГРБС, требующих совершенствования; оценки среднего уровня качества финансового менеджмента ГРБС</w:t>
      </w:r>
      <w:r>
        <w:rPr>
          <w:sz w:val="28"/>
          <w:szCs w:val="28"/>
        </w:rPr>
        <w:t>.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 xml:space="preserve">3. Оценка качества финансового менеджмента ГРБС проводится ежегодно в соответствии с показателями бальной оценки качества финансового менеджмента ГРБС (приложение к методике). 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 xml:space="preserve">4. Оценка качества финансового менеджмента ГРБС проводится на основании документов и сведений, находящихся в распоряжении комитета финансов Администрации </w:t>
      </w:r>
      <w:r>
        <w:rPr>
          <w:sz w:val="28"/>
          <w:szCs w:val="28"/>
        </w:rPr>
        <w:t>Валдайского</w:t>
      </w:r>
      <w:r w:rsidRPr="00C26D1F">
        <w:rPr>
          <w:sz w:val="28"/>
          <w:szCs w:val="28"/>
        </w:rPr>
        <w:t xml:space="preserve"> муниципального округа (далее - комитет финансов), а также запрашиваемой комитетом финансов информации, необходимой для проведения данной оценки. Для проведения оценки качества финансового менеджмента ГРБС используются следующие источники информации: ежемесячные и годовые отчеты ГРБС; пояснительные записки ГРБС; иные документы и материалы, находящие в распоряжении комитета финансов.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>5. Комитет финансов в срок до 20 мая года, следующего за отчетным, осуществляет расчет всех показателей качества финансового менеджмента. На основании данных расчета показате</w:t>
      </w:r>
      <w:r>
        <w:rPr>
          <w:sz w:val="28"/>
          <w:szCs w:val="28"/>
        </w:rPr>
        <w:t>лей качества финансового менедж</w:t>
      </w:r>
      <w:r w:rsidRPr="00C26D1F">
        <w:rPr>
          <w:sz w:val="28"/>
          <w:szCs w:val="28"/>
        </w:rPr>
        <w:t xml:space="preserve">мента комитетом финансов устанавливается итоговая оценка качества финансового менеджмента по соответствующему ГРБС и оценка среднего уровня качества финансового менеджмента ГРБС. 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>6. Критерии балльной оценки качества финансового менеджмента соответствующего ГРБС оцениваются от 0 до 5 баллов. Итоговая оценка качества финансового менеджмента соответствующего ГРБС определяется по формуле: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>5 n О=Ʃ Ei х Ʃ (Eij х Oij), где: i=1 i=1</w:t>
      </w:r>
      <w:r>
        <w:rPr>
          <w:sz w:val="28"/>
          <w:szCs w:val="28"/>
        </w:rPr>
        <w:t>, где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lastRenderedPageBreak/>
        <w:t>О- оценка качества финансового менеджмента ГРБС;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>Ei- вес группы показателей качества финансового менеджмента;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 xml:space="preserve">Eij- вес группы показателя качества финансового менеджмента в группе показателей качества финансового менеджмента; 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 xml:space="preserve">Oij- оценка по показателю качества финансового менеджмента в группе показателей качества финансового менеджмента; 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>n- количество показателей оценки качества финансового менеджмента ГРБС, предусмотренных в группе, согласно приложению к методике.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 xml:space="preserve">7. В случае невозможности определения оценки качества финансового менеджмента, соответствующего ГРБС по какому-либо из показателей в целях обеспечения равных условий оценки качества финансового менеджмента ГРБС по указанному показателю выставляется условная оценка, равная среднему арифметическому показателю оценок, полученных остальными ГРБС. 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  <w:r w:rsidRPr="00C26D1F">
        <w:rPr>
          <w:sz w:val="28"/>
          <w:szCs w:val="28"/>
        </w:rPr>
        <w:t xml:space="preserve">8. На основании итоговой балльной оценки качества финансового менеджмента ГРБС и рейтинг ГРБС направляется </w:t>
      </w:r>
      <w:r>
        <w:rPr>
          <w:sz w:val="28"/>
          <w:szCs w:val="28"/>
        </w:rPr>
        <w:t xml:space="preserve">заместителю </w:t>
      </w:r>
      <w:r w:rsidRPr="00C26D1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C26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C26D1F">
        <w:rPr>
          <w:sz w:val="28"/>
          <w:szCs w:val="28"/>
        </w:rPr>
        <w:t xml:space="preserve">муниципального округа и размещается на официальном сайте </w:t>
      </w:r>
      <w:r>
        <w:rPr>
          <w:sz w:val="28"/>
          <w:szCs w:val="28"/>
        </w:rPr>
        <w:t xml:space="preserve">Администрации Валдайского </w:t>
      </w:r>
      <w:r w:rsidRPr="00C26D1F">
        <w:rPr>
          <w:sz w:val="28"/>
          <w:szCs w:val="28"/>
        </w:rPr>
        <w:t xml:space="preserve">муниципального округа в </w:t>
      </w:r>
      <w:r>
        <w:rPr>
          <w:sz w:val="28"/>
          <w:szCs w:val="28"/>
        </w:rPr>
        <w:t>сети «Интернет».</w:t>
      </w: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Pr="00C26D1F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Pr="006D3D2B" w:rsidRDefault="000A2FAC" w:rsidP="000A2FAC">
      <w:pPr>
        <w:ind w:firstLine="709"/>
        <w:jc w:val="both"/>
        <w:rPr>
          <w:sz w:val="28"/>
          <w:szCs w:val="28"/>
        </w:rPr>
      </w:pPr>
    </w:p>
    <w:p w:rsidR="000A2FAC" w:rsidRDefault="000A2FAC" w:rsidP="000A2FAC">
      <w:pPr>
        <w:rPr>
          <w:sz w:val="28"/>
          <w:szCs w:val="28"/>
        </w:rPr>
      </w:pPr>
    </w:p>
    <w:p w:rsidR="000A2FAC" w:rsidRDefault="000A2FAC" w:rsidP="000A2FAC">
      <w:pPr>
        <w:spacing w:line="240" w:lineRule="exact"/>
        <w:ind w:left="5387"/>
        <w:jc w:val="both"/>
        <w:rPr>
          <w:sz w:val="24"/>
          <w:szCs w:val="24"/>
        </w:rPr>
      </w:pPr>
      <w:r w:rsidRPr="003E35EA">
        <w:rPr>
          <w:sz w:val="24"/>
          <w:szCs w:val="24"/>
        </w:rPr>
        <w:lastRenderedPageBreak/>
        <w:t>Приложение</w:t>
      </w:r>
    </w:p>
    <w:p w:rsidR="000A2FAC" w:rsidRDefault="000A2FAC" w:rsidP="000A2FAC">
      <w:pPr>
        <w:spacing w:line="240" w:lineRule="exact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к методике балльной оценки качества</w:t>
      </w:r>
    </w:p>
    <w:p w:rsidR="000A2FAC" w:rsidRDefault="000A2FAC" w:rsidP="000A2FAC">
      <w:pPr>
        <w:spacing w:line="240" w:lineRule="exact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финансового менеджмента главных</w:t>
      </w:r>
    </w:p>
    <w:p w:rsidR="000A2FAC" w:rsidRDefault="000A2FAC" w:rsidP="000A2FAC">
      <w:pPr>
        <w:spacing w:line="240" w:lineRule="exact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распорядителей средств бюджета</w:t>
      </w:r>
    </w:p>
    <w:p w:rsidR="000A2FAC" w:rsidRDefault="000A2FAC" w:rsidP="000A2FAC">
      <w:pPr>
        <w:spacing w:line="240" w:lineRule="exact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:rsidR="000A2FAC" w:rsidRDefault="000A2FAC" w:rsidP="000A2FAC">
      <w:pPr>
        <w:spacing w:line="240" w:lineRule="exact"/>
        <w:ind w:left="5387"/>
        <w:jc w:val="both"/>
        <w:rPr>
          <w:sz w:val="24"/>
          <w:szCs w:val="24"/>
        </w:rPr>
      </w:pPr>
    </w:p>
    <w:p w:rsidR="000A2FAC" w:rsidRDefault="000A2FAC" w:rsidP="000A2FAC">
      <w:pPr>
        <w:spacing w:line="240" w:lineRule="exact"/>
        <w:ind w:left="5387"/>
        <w:jc w:val="both"/>
        <w:rPr>
          <w:sz w:val="24"/>
          <w:szCs w:val="24"/>
        </w:rPr>
      </w:pPr>
    </w:p>
    <w:p w:rsidR="000A2FAC" w:rsidRPr="000A2FAC" w:rsidRDefault="000A2FAC" w:rsidP="000A2FAC">
      <w:pPr>
        <w:spacing w:line="240" w:lineRule="exact"/>
        <w:jc w:val="center"/>
        <w:rPr>
          <w:b/>
          <w:sz w:val="28"/>
          <w:szCs w:val="28"/>
        </w:rPr>
      </w:pPr>
      <w:r w:rsidRPr="000A2FAC">
        <w:rPr>
          <w:b/>
          <w:sz w:val="28"/>
          <w:szCs w:val="28"/>
        </w:rPr>
        <w:t>Показатели балльной оценки качества финансового менеджмент</w:t>
      </w:r>
      <w:r>
        <w:rPr>
          <w:b/>
          <w:sz w:val="28"/>
          <w:szCs w:val="28"/>
        </w:rPr>
        <w:t>а</w:t>
      </w:r>
    </w:p>
    <w:p w:rsidR="000A2FAC" w:rsidRDefault="000A2FAC" w:rsidP="000A2FAC">
      <w:pPr>
        <w:spacing w:line="240" w:lineRule="exact"/>
        <w:jc w:val="center"/>
        <w:rPr>
          <w:b/>
          <w:sz w:val="28"/>
          <w:szCs w:val="28"/>
        </w:rPr>
      </w:pPr>
      <w:r w:rsidRPr="000A2FAC">
        <w:rPr>
          <w:b/>
          <w:sz w:val="28"/>
          <w:szCs w:val="28"/>
        </w:rPr>
        <w:t>главных распорядителей средств бюджета муниципального округа</w:t>
      </w:r>
    </w:p>
    <w:p w:rsidR="000A2FAC" w:rsidRPr="000A2FAC" w:rsidRDefault="000A2FAC" w:rsidP="000A2FAC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409"/>
        <w:gridCol w:w="2552"/>
        <w:gridCol w:w="709"/>
        <w:gridCol w:w="708"/>
        <w:gridCol w:w="1732"/>
        <w:gridCol w:w="823"/>
      </w:tblGrid>
      <w:tr w:rsidR="000A2FAC" w:rsidRPr="003315A6" w:rsidTr="00A02A12">
        <w:trPr>
          <w:trHeight w:val="20"/>
        </w:trPr>
        <w:tc>
          <w:tcPr>
            <w:tcW w:w="431" w:type="dxa"/>
            <w:vAlign w:val="center"/>
            <w:hideMark/>
          </w:tcPr>
          <w:p w:rsidR="000A2FAC" w:rsidRPr="003315A6" w:rsidRDefault="000A2FAC" w:rsidP="00A02A12">
            <w:pPr>
              <w:jc w:val="center"/>
              <w:rPr>
                <w:b/>
                <w:sz w:val="24"/>
                <w:szCs w:val="24"/>
              </w:rPr>
            </w:pPr>
            <w:r w:rsidRPr="003315A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  <w:hideMark/>
          </w:tcPr>
          <w:p w:rsidR="000A2FAC" w:rsidRPr="003315A6" w:rsidRDefault="000A2FAC" w:rsidP="00A02A12">
            <w:pPr>
              <w:jc w:val="center"/>
              <w:rPr>
                <w:b/>
                <w:sz w:val="24"/>
                <w:szCs w:val="24"/>
              </w:rPr>
            </w:pPr>
            <w:r w:rsidRPr="003315A6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  <w:hideMark/>
          </w:tcPr>
          <w:p w:rsidR="000A2FAC" w:rsidRPr="003315A6" w:rsidRDefault="000A2FAC" w:rsidP="00A02A12">
            <w:pPr>
              <w:jc w:val="center"/>
              <w:rPr>
                <w:b/>
                <w:sz w:val="24"/>
                <w:szCs w:val="24"/>
              </w:rPr>
            </w:pPr>
            <w:r w:rsidRPr="003315A6">
              <w:rPr>
                <w:b/>
                <w:sz w:val="24"/>
                <w:szCs w:val="24"/>
              </w:rPr>
              <w:t>Расчет показателя</w:t>
            </w:r>
          </w:p>
        </w:tc>
        <w:tc>
          <w:tcPr>
            <w:tcW w:w="709" w:type="dxa"/>
            <w:vAlign w:val="center"/>
            <w:hideMark/>
          </w:tcPr>
          <w:p w:rsidR="000A2FAC" w:rsidRPr="003315A6" w:rsidRDefault="000A2FAC" w:rsidP="00A02A12">
            <w:pPr>
              <w:jc w:val="center"/>
              <w:rPr>
                <w:b/>
                <w:sz w:val="24"/>
                <w:szCs w:val="24"/>
              </w:rPr>
            </w:pPr>
            <w:r w:rsidRPr="003315A6">
              <w:rPr>
                <w:b/>
                <w:sz w:val="24"/>
                <w:szCs w:val="24"/>
              </w:rPr>
              <w:t>Еди-ница изме-ре-ния</w:t>
            </w:r>
          </w:p>
        </w:tc>
        <w:tc>
          <w:tcPr>
            <w:tcW w:w="708" w:type="dxa"/>
            <w:vAlign w:val="center"/>
            <w:hideMark/>
          </w:tcPr>
          <w:p w:rsidR="000A2FAC" w:rsidRPr="003315A6" w:rsidRDefault="000A2FAC" w:rsidP="00A02A12">
            <w:pPr>
              <w:jc w:val="center"/>
              <w:rPr>
                <w:b/>
                <w:sz w:val="24"/>
                <w:szCs w:val="24"/>
              </w:rPr>
            </w:pPr>
            <w:r w:rsidRPr="003315A6">
              <w:rPr>
                <w:b/>
                <w:sz w:val="24"/>
                <w:szCs w:val="24"/>
              </w:rPr>
              <w:t>Уро-вень в бал-лах (Оij)</w:t>
            </w:r>
          </w:p>
        </w:tc>
        <w:tc>
          <w:tcPr>
            <w:tcW w:w="1732" w:type="dxa"/>
            <w:vAlign w:val="center"/>
            <w:hideMark/>
          </w:tcPr>
          <w:p w:rsidR="000A2FAC" w:rsidRPr="003315A6" w:rsidRDefault="000A2FAC" w:rsidP="00A02A12">
            <w:pPr>
              <w:jc w:val="center"/>
              <w:rPr>
                <w:b/>
                <w:sz w:val="24"/>
                <w:szCs w:val="24"/>
              </w:rPr>
            </w:pPr>
            <w:r w:rsidRPr="003315A6">
              <w:rPr>
                <w:b/>
                <w:sz w:val="24"/>
                <w:szCs w:val="24"/>
              </w:rPr>
              <w:t>Комментарий</w:t>
            </w:r>
          </w:p>
        </w:tc>
        <w:tc>
          <w:tcPr>
            <w:tcW w:w="823" w:type="dxa"/>
            <w:vAlign w:val="center"/>
            <w:hideMark/>
          </w:tcPr>
          <w:p w:rsidR="000A2FAC" w:rsidRPr="003315A6" w:rsidRDefault="000A2FAC" w:rsidP="00A02A12">
            <w:pPr>
              <w:jc w:val="center"/>
              <w:rPr>
                <w:b/>
                <w:sz w:val="24"/>
                <w:szCs w:val="24"/>
              </w:rPr>
            </w:pPr>
            <w:r w:rsidRPr="003315A6">
              <w:rPr>
                <w:b/>
                <w:sz w:val="24"/>
                <w:szCs w:val="24"/>
              </w:rPr>
              <w:t>Вес показа-теля в свод-ной оценке (Еi)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7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1.</w:t>
            </w:r>
          </w:p>
        </w:tc>
        <w:tc>
          <w:tcPr>
            <w:tcW w:w="8110" w:type="dxa"/>
            <w:gridSpan w:val="5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Финансовое планирование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0,3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1.1.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Своевременность представления реестра расходных обязательств главным распорядителем средств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(далее - ГРБС)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оценивается соблюдение сроков представления в комитет финансов Администрации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(далее - комитет финансов) реестра расходных обязательств ГРБС,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день 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целевым ориентиром для ГРБС является значение показателя, равное 0. Представление реестра расходных обязательств ГРБС до наступления срока, установленного постановлением Администрации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о поряд-ке и сроках составления проекта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на очередной финансовый год и на плановый период, оценивается в </w:t>
            </w:r>
          </w:p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баллов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- количество дней отклонения от даты </w:t>
            </w:r>
            <w:r w:rsidRPr="003315A6">
              <w:rPr>
                <w:sz w:val="24"/>
                <w:szCs w:val="24"/>
              </w:rPr>
              <w:lastRenderedPageBreak/>
              <w:t xml:space="preserve">регистрации в комитете финансов сопроводи-тельного письма ГРБС, к которому приложен реестр расходных обязательств ГРБС, до срока, установленного постановлением Администрации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о порядке и сроках составления проекта 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на очередной финансовый год и на плановый период для представления реестра расходных обязательств ГРБС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&lt; О&lt;= 3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&gt; 3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1.2.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Доля суммы изменений в сводную бюджетную роспись бюдж</w:t>
            </w:r>
            <w:r>
              <w:rPr>
                <w:sz w:val="24"/>
                <w:szCs w:val="24"/>
              </w:rPr>
              <w:t>ета Валдайского муниципального округа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100 % x S / Pгрбс,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целевым ориентиром для ГРБС является значение показателя 0 %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4,0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S - сумма положитель-ных изменений сводной бюджетной росписи 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в случае увеличения бюджетных ассигнова-ний по справкам-уведомлениям с кодами вида изменений 010, 100, 240 (за исключением средств областного бюджета)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Pгрбс - объем бюджет-ных ассигнований ГРБС согласно сводной бюджетной росписи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по состоянию на 31 декабря отчетного </w:t>
            </w:r>
            <w:r w:rsidRPr="003315A6">
              <w:rPr>
                <w:sz w:val="24"/>
                <w:szCs w:val="24"/>
              </w:rPr>
              <w:lastRenderedPageBreak/>
              <w:t>года (за исключением средств областного бюджета)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=&gt; 15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10 &lt;= О &lt; 15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7 &lt;= О &lt; 10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5 &lt;= О &lt; 7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3 &lt;= О &lt; 5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&lt; 3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1.3.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Доля субсидий и иных межбюджетных трансфертов, предоставляемых ГРБС из бюджета Валдайского муници-пального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в очередном финансо-вом году, распределен-ных решением о</w:t>
            </w:r>
            <w:r>
              <w:rPr>
                <w:sz w:val="24"/>
                <w:szCs w:val="24"/>
              </w:rPr>
              <w:t xml:space="preserve"> </w:t>
            </w:r>
            <w:r w:rsidRPr="003315A6">
              <w:rPr>
                <w:sz w:val="24"/>
                <w:szCs w:val="24"/>
              </w:rPr>
              <w:t xml:space="preserve">бюджете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в первоначаль-ной редакции, в общем объеме субсидий и иных межбюджетных трансфертов, предо-ставляемых ГРБС из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в очередном финансовом году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МБТгрбс / МБТ,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целевым ориентиром для ГРБС является значение показателя </w:t>
            </w:r>
          </w:p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100 %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МБТгрбс - объем субсидий и иных межбюджетных трансфертов, предостав-ляемых ГРБС из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в очередном финансовом году, распределение которых утверждено решением о бюджете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(в первоначальной редакции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МБТ - общий объем субсидий и иных межбюджетных трансфертов, предостав-ляемых ГРБС из</w:t>
            </w:r>
            <w:r>
              <w:rPr>
                <w:sz w:val="24"/>
                <w:szCs w:val="24"/>
              </w:rPr>
              <w:t xml:space="preserve"> </w:t>
            </w:r>
            <w:r w:rsidRPr="003315A6">
              <w:rPr>
                <w:sz w:val="24"/>
                <w:szCs w:val="24"/>
              </w:rPr>
              <w:t xml:space="preserve">бюджета Валдайского </w:t>
            </w:r>
            <w:r w:rsidRPr="003315A6">
              <w:rPr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в очередном финансовом году, предусмотренных решением о бюджете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(в первоначальной редакции</w:t>
            </w:r>
            <w:r>
              <w:rPr>
                <w:sz w:val="24"/>
                <w:szCs w:val="24"/>
              </w:rPr>
              <w:t>)</w:t>
            </w:r>
            <w:r w:rsidRPr="003315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100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100 &lt; О&lt;= 85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85 &lt; О&lt;= 75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&gt; 75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1.4.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Оценка эффективности реализации муниципальных программ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оцениваются результаты оценки эффективности реализации муниципальных программ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полученной ответственным исполнителем муниципальной программы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по результатам ежегодной оценки эффективности реализации муниципальных программ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проводимой в соответствии с </w:t>
            </w:r>
            <w:r>
              <w:rPr>
                <w:sz w:val="24"/>
                <w:szCs w:val="24"/>
              </w:rPr>
              <w:t xml:space="preserve">Методическими рекомендациями по разработке и реализации муниципальных программ Валдайского муниципального района Новгородской области, </w:t>
            </w:r>
            <w:r w:rsidRPr="000C088E">
              <w:rPr>
                <w:sz w:val="24"/>
                <w:szCs w:val="24"/>
              </w:rPr>
              <w:t xml:space="preserve">утвержденным </w:t>
            </w:r>
            <w:hyperlink r:id="rId8" w:history="1">
              <w:r w:rsidRPr="000C088E">
                <w:rPr>
                  <w:sz w:val="24"/>
                  <w:szCs w:val="24"/>
                </w:rPr>
                <w:t xml:space="preserve">постановлением Администрации Валдайского муниципального района от 12.03.2025 N </w:t>
              </w:r>
            </w:hyperlink>
            <w:r w:rsidRPr="000C088E">
              <w:t>74-рг</w:t>
            </w:r>
            <w:r w:rsidRPr="000C088E">
              <w:rPr>
                <w:sz w:val="24"/>
                <w:szCs w:val="24"/>
              </w:rPr>
              <w:t>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1, если по результатам оценки эффективности муниципальная программа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признана высокоэффективной;</w:t>
            </w:r>
          </w:p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0,8, если по результатам оценки эффективности муниципальная программа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признана эффективной;</w:t>
            </w:r>
          </w:p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0,7, если по результатам оценки эффективности муниц</w:t>
            </w:r>
            <w:r>
              <w:rPr>
                <w:sz w:val="24"/>
                <w:szCs w:val="24"/>
              </w:rPr>
              <w:t>ипальная программа Валдайского округа</w:t>
            </w:r>
            <w:r w:rsidRPr="003315A6">
              <w:rPr>
                <w:sz w:val="24"/>
                <w:szCs w:val="24"/>
              </w:rPr>
              <w:t xml:space="preserve"> признана умеренно эффективной;</w:t>
            </w:r>
          </w:p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0, если по результатам оценки эффективности муниц</w:t>
            </w:r>
            <w:r>
              <w:rPr>
                <w:sz w:val="24"/>
                <w:szCs w:val="24"/>
              </w:rPr>
              <w:t>ипальная программа Валдайского округа</w:t>
            </w:r>
            <w:r w:rsidRPr="003315A6">
              <w:rPr>
                <w:sz w:val="24"/>
                <w:szCs w:val="24"/>
              </w:rPr>
              <w:t xml:space="preserve"> признана неэффективной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- оценка </w:t>
            </w:r>
            <w:r w:rsidRPr="003315A6">
              <w:rPr>
                <w:sz w:val="24"/>
                <w:szCs w:val="24"/>
              </w:rPr>
              <w:lastRenderedPageBreak/>
              <w:t xml:space="preserve">эффективности реализации муниципальной программы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1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0,8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0,7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2.</w:t>
            </w:r>
          </w:p>
        </w:tc>
        <w:tc>
          <w:tcPr>
            <w:tcW w:w="8110" w:type="dxa"/>
            <w:gridSpan w:val="5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Исполнение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по расходам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0,3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2.1.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Наличие просроченной кредиторской задолженности на конец отчетного периода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прирост задолженности за отчетный период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руб.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целевым ориентиром для ГРБС является отсутствие просроченной кредиторской задолженности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сумма задолженности за отчетный период, оставшаяся без изменений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снижение задолженности за отчетный период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отсутствие задолженности за отчетный период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2.2.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Доля неисполненных на конец отчетного финансового года бюджетных ассигнований, за исключением средств резервного фонда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100 % x (R - E) / R,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целевым ориентиром для ГРБС является значение показателя, не превышающее </w:t>
            </w:r>
          </w:p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5 %.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R - объем бюджетных ассигнований ГРБС в отчетном году согласно сводной бюджетной росписи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с учетом изменений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E - кассовое исполнение расходов ГРБС в отчетном году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&lt;= 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&gt; 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2.3.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Качество управления средствами бюджета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в части </w:t>
            </w:r>
            <w:r w:rsidRPr="003315A6">
              <w:rPr>
                <w:sz w:val="24"/>
                <w:szCs w:val="24"/>
              </w:rPr>
              <w:lastRenderedPageBreak/>
              <w:t xml:space="preserve">субсидий, субвенций, иных межбюджетных трансфертов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lastRenderedPageBreak/>
              <w:t>О = 100 % x (1 - КРмо / КРгрбс),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целевым ориентиром для ГРБС является значение показателя, </w:t>
            </w:r>
            <w:r w:rsidRPr="003315A6">
              <w:rPr>
                <w:sz w:val="24"/>
                <w:szCs w:val="24"/>
              </w:rPr>
              <w:lastRenderedPageBreak/>
              <w:t>равное 0 %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lastRenderedPageBreak/>
              <w:t xml:space="preserve">2,0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КРмо - объем кассовых расходов, финансовое обеспечение которых осуществляется за счет субсидий, субвенций, иных межбюджетных трансфертов, перечисляемых соответствующим ГРБС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КРгрбс - сумма субсидий, субвенций, иных межбюджетных трансфертов, перечисленных соответствующим ГРБС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&gt; 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&lt; О&lt;= 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2.4.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Качество управления деятельностью муниципальных бюджетных и автономных учреждений </w:t>
            </w:r>
          </w:p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(далее - БАУ)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наличие остатков по субсидиям, перечисленным на финансовое обеспечение выполнения муниципального задания БАУ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-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Рост / Ргз x 100 %,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Рост - объем остатков по субсидиям, перечисленным на финансовое обеспечение выполнения муниципального задания БАУ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Ргз - общий объем субсидий, перечисленных на финансовое обеспечение выполнения муниципального задания БАУ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&gt; 10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&lt; О&lt;= 10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&lt;= 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3.</w:t>
            </w:r>
          </w:p>
        </w:tc>
        <w:tc>
          <w:tcPr>
            <w:tcW w:w="8110" w:type="dxa"/>
            <w:gridSpan w:val="5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Контроль и аудит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0,2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3.1.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Доля муниципальных </w:t>
            </w:r>
            <w:r w:rsidRPr="003315A6">
              <w:rPr>
                <w:sz w:val="24"/>
                <w:szCs w:val="24"/>
              </w:rPr>
              <w:lastRenderedPageBreak/>
              <w:t xml:space="preserve">учреждений, выполнивших муниципальное задание на 100 %, в общем количестве муниципальных учреждений, которым установлены муниципальные задания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lastRenderedPageBreak/>
              <w:t xml:space="preserve">О = 100 % x Ni / Nгз, </w:t>
            </w:r>
            <w:r w:rsidRPr="003315A6">
              <w:rPr>
                <w:sz w:val="24"/>
                <w:szCs w:val="24"/>
              </w:rPr>
              <w:lastRenderedPageBreak/>
              <w:t>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целевым </w:t>
            </w:r>
            <w:r w:rsidRPr="003315A6">
              <w:rPr>
                <w:sz w:val="24"/>
                <w:szCs w:val="24"/>
              </w:rPr>
              <w:lastRenderedPageBreak/>
              <w:t>ориентиром является значение показателя, равное 100 %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lastRenderedPageBreak/>
              <w:t xml:space="preserve">2,0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Ni - количество муниципальных учреждений, выполнивших муниципальное задание на 100 %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Nгз - общее количество муниципальных учреждений, которым установлены муниципальные задания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100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90 &lt;= О &lt; 100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&lt; 90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3.2.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Доля муниципальных учреждений, для которых установлены количественно измеримые финансо-вые санкции (штрафы, изъятия) за нарушение условий выполнения муниципальных заданий, в общем количестве муниципальных учреждений, которым установлены муниципальные задания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100 % x Ni / N,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целевым ориентиром является значение показателя, равное 100 %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Ni - количество муниципальных учреждений, для которых установлены количественно измеримые финансовые санкции (штрафы, изъятия) за нарушение условий выполнения муниципальных заданий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N - общее количество муниципальных </w:t>
            </w:r>
            <w:r w:rsidRPr="003315A6">
              <w:rPr>
                <w:sz w:val="24"/>
                <w:szCs w:val="24"/>
              </w:rPr>
              <w:lastRenderedPageBreak/>
              <w:t xml:space="preserve">учреждений, которым установлены муниципальные задания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100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90 &lt;= О &lt; 100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&lt; 90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3.3.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Доля руководителей муниципальных учреждений, для которых оплата труда определяется с учетом результатов их профессиональной деятельности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100 % x Nэк / Nобщ,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целевым ориентиром является значение показателя, равное 100 %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Nэк - количество руководителей муниципальных учреждений, для которых оплата труда определяется с учетом результатов их профессиональной деятельности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Nобщ - общее количество руководителей муниципальных учреждений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100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50 &lt;= О &lt; 100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&lt; 50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4.</w:t>
            </w:r>
          </w:p>
        </w:tc>
        <w:tc>
          <w:tcPr>
            <w:tcW w:w="8110" w:type="dxa"/>
            <w:gridSpan w:val="5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Учет и отчетность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0,2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4.1.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Соблюдение сроков представления ГРБС годовой и квартальной бюджетной отчетности, установленных </w:t>
            </w:r>
            <w:r w:rsidRPr="009B6A96">
              <w:rPr>
                <w:sz w:val="24"/>
                <w:szCs w:val="24"/>
              </w:rPr>
              <w:t xml:space="preserve">приказом комитета финансов Администрации Валдайского муници-пального </w:t>
            </w:r>
            <w:r>
              <w:rPr>
                <w:sz w:val="24"/>
                <w:szCs w:val="24"/>
              </w:rPr>
              <w:t>округа</w:t>
            </w:r>
            <w:r w:rsidRPr="009B6A9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9B6A96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  <w:r w:rsidRPr="009B6A96">
              <w:rPr>
                <w:sz w:val="24"/>
                <w:szCs w:val="24"/>
              </w:rPr>
              <w:t xml:space="preserve"> № 1</w:t>
            </w:r>
            <w:r>
              <w:rPr>
                <w:sz w:val="24"/>
                <w:szCs w:val="24"/>
              </w:rPr>
              <w:t>02</w:t>
            </w:r>
            <w:r w:rsidRPr="009B6A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 сроках предоставления месячной и квартальной отчётности бюджета Валдайского муниципального округа, сводной отчётности </w:t>
            </w:r>
            <w:r>
              <w:rPr>
                <w:sz w:val="24"/>
                <w:szCs w:val="24"/>
              </w:rPr>
              <w:lastRenderedPageBreak/>
              <w:t>муниципальных бюджетных и автономных учреждений в 2026 году»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lastRenderedPageBreak/>
              <w:t>соблюдение сроков представления ГРБС годовой (квартальной) бюджетной отчетности (О),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день 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представление отчета до наступления установленных сроков оценивается в </w:t>
            </w:r>
          </w:p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баллов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2,0 (за каждый квар-тал)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- количество дней отклонения от установленного срока представления в комитет финансов Администрации Валдайского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годовой (квартальной) бюджетной отчетности до даты представления ГРБС годовой (квартальной) бюджетной отчетности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= 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&lt;= 3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&gt; 3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5.</w:t>
            </w:r>
          </w:p>
        </w:tc>
        <w:tc>
          <w:tcPr>
            <w:tcW w:w="8110" w:type="dxa"/>
            <w:gridSpan w:val="5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Обеспечение открытости бюджетного процесса 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0,2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5.1.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Наличие на официальных сайтах органов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являющихся ответственными исполнителями муниципальных программ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в информационно-телекоммуникационной сети "Интернет" (далее - официальный сайт) информации об утвержденных муниципальных программах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а также отчетов о ходе их реализации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наличие на официальном сайте органа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информации о муниципальных программах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ответственным исполнителем которых является орган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а также отчетов о ходе их реализации за отчетный финансовый год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-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наличие на официальном сайте органа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частичной информации о муниципальных </w:t>
            </w:r>
            <w:r w:rsidRPr="003315A6">
              <w:rPr>
                <w:sz w:val="24"/>
                <w:szCs w:val="24"/>
              </w:rPr>
              <w:lastRenderedPageBreak/>
              <w:t xml:space="preserve">программах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ответственным исполнителем которых является орган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а также отчетов о ходе их реализации за отчетный финансовый год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отсутствие на официальном сайте органа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 информации о муниципальных программах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ответственным исполнителем которых является орган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а также отчетов о ходе их реализации за отчетный финансовый год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5.2.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Наличие на официальных сайтах органов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осуществляющих функции и полномочия учредителя, информации об утвержденных муниципальных заданиях на оказание муниципальных услуг (выполнение работ) подведомственным учреждениям и отчетов об их исполнении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наличие на официальном сайте органа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осуществляющего функции и полномочия учредителя, информации об утвержденных муниципальных заданиях на оказание муниципальных услуг (выполнение работ) на очередной финансовый год и на плановый период подведомственным учреждениям и отчетов об их исполнении за отчетный финансовый год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-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наличие на официальном сайте органа исполнительной власти Валдайского </w:t>
            </w:r>
            <w:r>
              <w:rPr>
                <w:sz w:val="24"/>
                <w:szCs w:val="24"/>
              </w:rPr>
              <w:lastRenderedPageBreak/>
              <w:t>округа</w:t>
            </w:r>
            <w:r w:rsidRPr="003315A6">
              <w:rPr>
                <w:sz w:val="24"/>
                <w:szCs w:val="24"/>
              </w:rPr>
              <w:t xml:space="preserve">, осуществляющего функции и полномочия учредителя, частичной информации об утвержденных муниципальных заданиях на оказание муниципальных услуг (выполнение работ) подведомственным учреждениям и отчетов об их исполнении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отсутствие на официальном сайте органа исполнительной власти Валдайского </w:t>
            </w:r>
            <w:r>
              <w:rPr>
                <w:sz w:val="24"/>
                <w:szCs w:val="24"/>
              </w:rPr>
              <w:t>округа</w:t>
            </w:r>
            <w:r w:rsidRPr="003315A6">
              <w:rPr>
                <w:sz w:val="24"/>
                <w:szCs w:val="24"/>
              </w:rPr>
              <w:t xml:space="preserve">, осуществляющего функции и полномочия учредителя, информации об утвержденных муниципальных заданиях на оказание муниципальных услуг (выполнение работ) подведомственным учреждениям и отчетов об их исполнении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5.3.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Доля БАУ, опубликовавших в информационно-телекоммуникацион-ной сети "Интернет" на официальном сайте Российской Федерации для размещения информации о муниципальных учреждениях (www.bus.gov.ru) (далее - сайт bus.gov.ru) муниципальные задания на текущий финансовый год и на плановый период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100 % x Nгз / N,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целевым ориентиром является значение показателя, равное 100 %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Nгз - количество БАУ, опубликовавших на сайте bus.gov.ru муниципальные задания </w:t>
            </w:r>
            <w:r w:rsidRPr="003315A6">
              <w:rPr>
                <w:sz w:val="24"/>
                <w:szCs w:val="24"/>
              </w:rPr>
              <w:lastRenderedPageBreak/>
              <w:t>на текущий финансовый год и на плановый период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N - общее количество БАУ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&gt;= 95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90 &lt;= О &lt; 95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80 &lt;= О &lt; 90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&lt; 80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5.4.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Доля БАУ, опубликовавших на сайте bus.gov.ru информацию о плане финансово-хозяйственной деятельности на текущий финансовый год и на плановый период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100 % x Nпхд / N,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целевым ориентиром  является значение показателя, равное 100 %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Nпхд - количество БАУ, опубликовавших на сайте bus.gov.ru информацию о плане финансово-хозяйствен-ной деятельности на текущий финансовый год и на плановый период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N - общее количество БАУ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&gt;= 95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90 &lt;= О &lt; 95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80 &lt;= О &lt; 90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&lt; 80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5.5.</w:t>
            </w: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Доля муниципальных учреждений, опубликовавших на сайте bus.gov.ru отчеты о результатах деятельности и об использовании закрепленного за ними муниципального имущества за отчетный финансовый год </w:t>
            </w: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= 100 % x Nо / N, где: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целевым ориентиром является значение показателя, равное 100 %</w:t>
            </w: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1,0 </w:t>
            </w: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Nо - количество муниципальных учреждений, опубликовавших на сайте bus.gov.ru отчеты о результатах </w:t>
            </w:r>
            <w:r w:rsidRPr="003315A6">
              <w:rPr>
                <w:sz w:val="24"/>
                <w:szCs w:val="24"/>
              </w:rPr>
              <w:lastRenderedPageBreak/>
              <w:t>деятельности и об использовании закрепленного за ними муниципального имущества за отчетный финансовый год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N - общее количество муниципальных учреждений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О &gt;= 95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90 &lt;= О &lt; 95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80 &lt;= О &lt; 90 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  <w:tr w:rsidR="000A2FAC" w:rsidRPr="003315A6" w:rsidTr="00A02A12">
        <w:trPr>
          <w:trHeight w:val="20"/>
        </w:trPr>
        <w:tc>
          <w:tcPr>
            <w:tcW w:w="431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>О &lt; 80</w:t>
            </w:r>
          </w:p>
        </w:tc>
        <w:tc>
          <w:tcPr>
            <w:tcW w:w="709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0A2FAC" w:rsidRPr="003315A6" w:rsidRDefault="000A2FAC" w:rsidP="00A02A12">
            <w:pPr>
              <w:jc w:val="center"/>
              <w:rPr>
                <w:sz w:val="24"/>
                <w:szCs w:val="24"/>
              </w:rPr>
            </w:pPr>
            <w:r w:rsidRPr="003315A6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32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  <w:tc>
          <w:tcPr>
            <w:tcW w:w="823" w:type="dxa"/>
            <w:hideMark/>
          </w:tcPr>
          <w:p w:rsidR="000A2FAC" w:rsidRPr="003315A6" w:rsidRDefault="000A2FAC" w:rsidP="00A02A12">
            <w:pPr>
              <w:rPr>
                <w:sz w:val="24"/>
                <w:szCs w:val="24"/>
              </w:rPr>
            </w:pPr>
          </w:p>
        </w:tc>
      </w:tr>
    </w:tbl>
    <w:p w:rsidR="000A2FAC" w:rsidRDefault="000A2FAC">
      <w:pPr>
        <w:jc w:val="both"/>
        <w:rPr>
          <w:b/>
          <w:sz w:val="28"/>
        </w:rPr>
      </w:pPr>
    </w:p>
    <w:sectPr w:rsidR="000A2FAC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4C8" w:rsidRDefault="00F854C8" w:rsidP="00E62ADA">
      <w:r>
        <w:separator/>
      </w:r>
    </w:p>
  </w:endnote>
  <w:endnote w:type="continuationSeparator" w:id="1">
    <w:p w:rsidR="00F854C8" w:rsidRDefault="00F854C8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4C8" w:rsidRDefault="00F854C8" w:rsidP="00E62ADA">
      <w:r>
        <w:separator/>
      </w:r>
    </w:p>
  </w:footnote>
  <w:footnote w:type="continuationSeparator" w:id="1">
    <w:p w:rsidR="00F854C8" w:rsidRDefault="00F854C8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415B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0A2FAC">
      <w:fldChar w:fldCharType="separate"/>
    </w:r>
    <w:r w:rsidR="000A2FAC">
      <w:rPr>
        <w:noProof/>
      </w:rPr>
      <w:t>16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A2FAC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15B4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854C8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locked/>
    <w:rsid w:val="000A2FAC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01762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2813</Words>
  <Characters>16040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2026-03-18T09:13:00Z</cp:lastPrinted>
  <dcterms:created xsi:type="dcterms:W3CDTF">2026-03-18T09:15:00Z</dcterms:created>
  <dcterms:modified xsi:type="dcterms:W3CDTF">2026-03-18T09:15:00Z</dcterms:modified>
</cp:coreProperties>
</file>