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501EA">
      <w:pPr>
        <w:jc w:val="center"/>
        <w:rPr>
          <w:sz w:val="28"/>
        </w:rPr>
      </w:pPr>
      <w:r>
        <w:rPr>
          <w:sz w:val="28"/>
        </w:rPr>
        <w:t>23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705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5501EA" w:rsidRDefault="005501EA" w:rsidP="005501E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ведения </w:t>
      </w:r>
    </w:p>
    <w:p w:rsidR="005501EA" w:rsidRDefault="005501EA" w:rsidP="005501E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долговой книги </w:t>
      </w:r>
    </w:p>
    <w:p w:rsidR="005501EA" w:rsidRDefault="005501EA" w:rsidP="005501E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Валдайского муниципального округа</w:t>
      </w:r>
    </w:p>
    <w:p w:rsidR="005501EA" w:rsidRDefault="005501EA" w:rsidP="005501E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Новгородской области</w:t>
      </w:r>
    </w:p>
    <w:p w:rsidR="005501EA" w:rsidRDefault="005501EA" w:rsidP="005501EA">
      <w:pPr>
        <w:ind w:firstLine="709"/>
        <w:jc w:val="both"/>
        <w:rPr>
          <w:sz w:val="28"/>
          <w:szCs w:val="28"/>
        </w:rPr>
      </w:pPr>
    </w:p>
    <w:p w:rsidR="005501EA" w:rsidRDefault="005501EA" w:rsidP="005501EA">
      <w:pPr>
        <w:ind w:firstLine="709"/>
        <w:jc w:val="both"/>
        <w:rPr>
          <w:sz w:val="28"/>
          <w:szCs w:val="28"/>
        </w:rPr>
      </w:pPr>
    </w:p>
    <w:p w:rsidR="005501EA" w:rsidRPr="00304B9E" w:rsidRDefault="005501EA" w:rsidP="005501EA">
      <w:pPr>
        <w:ind w:firstLine="709"/>
        <w:jc w:val="both"/>
        <w:rPr>
          <w:b/>
          <w:sz w:val="28"/>
          <w:szCs w:val="28"/>
        </w:rPr>
      </w:pPr>
      <w:r w:rsidRPr="00CD437A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ями</w:t>
      </w:r>
      <w:r w:rsidRPr="00CD4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120 и 121 Бюджетного кодекса Российской Федерации, Администрация </w:t>
      </w:r>
      <w:r w:rsidRPr="005501EA">
        <w:rPr>
          <w:sz w:val="28"/>
          <w:szCs w:val="28"/>
        </w:rPr>
        <w:t>Валдайского муниципального округа</w:t>
      </w:r>
      <w:r>
        <w:rPr>
          <w:sz w:val="28"/>
          <w:szCs w:val="28"/>
        </w:rPr>
        <w:t xml:space="preserve"> </w:t>
      </w:r>
      <w:r w:rsidRPr="00CD437A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CD437A">
        <w:rPr>
          <w:b/>
          <w:sz w:val="28"/>
          <w:szCs w:val="28"/>
        </w:rPr>
        <w:t>:</w:t>
      </w:r>
    </w:p>
    <w:p w:rsidR="005501EA" w:rsidRPr="00641C8A" w:rsidRDefault="005501EA" w:rsidP="005501EA">
      <w:pPr>
        <w:ind w:firstLine="709"/>
        <w:jc w:val="both"/>
        <w:rPr>
          <w:sz w:val="28"/>
        </w:rPr>
      </w:pPr>
      <w:r w:rsidRPr="00641C8A">
        <w:rPr>
          <w:sz w:val="28"/>
        </w:rPr>
        <w:t xml:space="preserve">1. Утвердить прилагаемое Положение о </w:t>
      </w:r>
      <w:r w:rsidR="006F0141">
        <w:rPr>
          <w:sz w:val="28"/>
        </w:rPr>
        <w:t>П</w:t>
      </w:r>
      <w:r w:rsidRPr="00641C8A">
        <w:rPr>
          <w:sz w:val="28"/>
        </w:rPr>
        <w:t xml:space="preserve">орядке ведения муниципальной долговой книги </w:t>
      </w:r>
      <w:r>
        <w:rPr>
          <w:sz w:val="28"/>
        </w:rPr>
        <w:t>Валдайского</w:t>
      </w:r>
      <w:r w:rsidRPr="00641C8A">
        <w:rPr>
          <w:sz w:val="28"/>
        </w:rPr>
        <w:t xml:space="preserve"> муниципального </w:t>
      </w:r>
      <w:r>
        <w:rPr>
          <w:sz w:val="28"/>
        </w:rPr>
        <w:t>округа</w:t>
      </w:r>
      <w:r w:rsidRPr="00641C8A">
        <w:rPr>
          <w:sz w:val="28"/>
        </w:rPr>
        <w:t>.</w:t>
      </w:r>
    </w:p>
    <w:p w:rsidR="005501EA" w:rsidRPr="00641C8A" w:rsidRDefault="005501EA" w:rsidP="005501EA">
      <w:pPr>
        <w:ind w:firstLine="709"/>
        <w:jc w:val="both"/>
        <w:rPr>
          <w:sz w:val="28"/>
        </w:rPr>
      </w:pPr>
      <w:r w:rsidRPr="00641C8A">
        <w:rPr>
          <w:sz w:val="28"/>
        </w:rPr>
        <w:t xml:space="preserve">2. Возложить на комитет финансов Администрации </w:t>
      </w:r>
      <w:r>
        <w:rPr>
          <w:sz w:val="28"/>
        </w:rPr>
        <w:t>Валдайского</w:t>
      </w:r>
      <w:r w:rsidRPr="00641C8A">
        <w:rPr>
          <w:sz w:val="28"/>
        </w:rPr>
        <w:t xml:space="preserve"> муниципального района в</w:t>
      </w:r>
      <w:r w:rsidRPr="00641C8A">
        <w:rPr>
          <w:sz w:val="28"/>
        </w:rPr>
        <w:t>е</w:t>
      </w:r>
      <w:r w:rsidRPr="00641C8A">
        <w:rPr>
          <w:sz w:val="28"/>
        </w:rPr>
        <w:t xml:space="preserve">дение </w:t>
      </w:r>
      <w:r w:rsidRPr="00BE7CF3">
        <w:rPr>
          <w:sz w:val="28"/>
        </w:rPr>
        <w:t>муниципальн</w:t>
      </w:r>
      <w:r>
        <w:rPr>
          <w:sz w:val="28"/>
        </w:rPr>
        <w:t>ой</w:t>
      </w:r>
      <w:r w:rsidRPr="00BE7CF3">
        <w:rPr>
          <w:sz w:val="28"/>
        </w:rPr>
        <w:t xml:space="preserve"> долгов</w:t>
      </w:r>
      <w:r>
        <w:rPr>
          <w:sz w:val="28"/>
        </w:rPr>
        <w:t xml:space="preserve">ой </w:t>
      </w:r>
      <w:r w:rsidRPr="00BE7CF3">
        <w:rPr>
          <w:sz w:val="28"/>
        </w:rPr>
        <w:t>книг</w:t>
      </w:r>
      <w:r>
        <w:rPr>
          <w:sz w:val="28"/>
        </w:rPr>
        <w:t>и</w:t>
      </w:r>
      <w:r w:rsidRPr="00641C8A">
        <w:rPr>
          <w:sz w:val="28"/>
        </w:rPr>
        <w:t>.</w:t>
      </w:r>
    </w:p>
    <w:p w:rsidR="005501EA" w:rsidRDefault="005501EA" w:rsidP="005501EA">
      <w:pPr>
        <w:ind w:firstLine="709"/>
        <w:jc w:val="both"/>
        <w:rPr>
          <w:sz w:val="28"/>
          <w:szCs w:val="28"/>
        </w:rPr>
      </w:pPr>
      <w:r w:rsidRPr="00641C8A">
        <w:rPr>
          <w:sz w:val="28"/>
        </w:rPr>
        <w:t xml:space="preserve">3. Признать утратившим силу </w:t>
      </w:r>
      <w:r>
        <w:rPr>
          <w:sz w:val="28"/>
        </w:rPr>
        <w:t>п</w:t>
      </w:r>
      <w:r w:rsidRPr="00641C8A">
        <w:rPr>
          <w:sz w:val="28"/>
        </w:rPr>
        <w:t xml:space="preserve">остановление Администрации </w:t>
      </w:r>
      <w:r>
        <w:rPr>
          <w:sz w:val="28"/>
        </w:rPr>
        <w:t>Валдайского</w:t>
      </w:r>
      <w:r w:rsidRPr="00641C8A">
        <w:rPr>
          <w:sz w:val="28"/>
        </w:rPr>
        <w:t xml:space="preserve"> района Новгородской области от </w:t>
      </w:r>
      <w:r>
        <w:rPr>
          <w:sz w:val="28"/>
        </w:rPr>
        <w:t>16.10.2012</w:t>
      </w:r>
      <w:r w:rsidRPr="00641C8A">
        <w:rPr>
          <w:sz w:val="28"/>
        </w:rPr>
        <w:t xml:space="preserve"> № </w:t>
      </w:r>
      <w:r>
        <w:rPr>
          <w:sz w:val="28"/>
        </w:rPr>
        <w:t>1774</w:t>
      </w:r>
      <w:r w:rsidRPr="00641C8A">
        <w:rPr>
          <w:sz w:val="28"/>
        </w:rPr>
        <w:t xml:space="preserve"> </w:t>
      </w:r>
      <w:r>
        <w:rPr>
          <w:rFonts w:eastAsia="A"/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Порядка 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долговой книги Валдайского муниципального района»</w:t>
      </w:r>
      <w:r w:rsidR="006F0141">
        <w:rPr>
          <w:sz w:val="28"/>
          <w:szCs w:val="28"/>
        </w:rPr>
        <w:t>.</w:t>
      </w:r>
    </w:p>
    <w:p w:rsidR="005501EA" w:rsidRDefault="005501EA" w:rsidP="005501EA">
      <w:pPr>
        <w:ind w:firstLine="709"/>
        <w:jc w:val="both"/>
        <w:rPr>
          <w:sz w:val="28"/>
        </w:rPr>
      </w:pPr>
      <w:r w:rsidRPr="00641C8A">
        <w:rPr>
          <w:sz w:val="28"/>
        </w:rPr>
        <w:t>4. Опубликовать постановление в бюллетене «</w:t>
      </w:r>
      <w:r>
        <w:rPr>
          <w:sz w:val="28"/>
        </w:rPr>
        <w:t>Валдайский</w:t>
      </w:r>
      <w:r w:rsidRPr="00641C8A">
        <w:rPr>
          <w:sz w:val="28"/>
        </w:rPr>
        <w:t xml:space="preserve"> вестник» и ра</w:t>
      </w:r>
      <w:r w:rsidRPr="00641C8A">
        <w:rPr>
          <w:sz w:val="28"/>
        </w:rPr>
        <w:t>з</w:t>
      </w:r>
      <w:r w:rsidRPr="00641C8A">
        <w:rPr>
          <w:sz w:val="28"/>
        </w:rPr>
        <w:t xml:space="preserve">местить на официальном сайте Администрации </w:t>
      </w:r>
      <w:r>
        <w:rPr>
          <w:sz w:val="28"/>
        </w:rPr>
        <w:t>Валдайского</w:t>
      </w:r>
      <w:r w:rsidRPr="00641C8A">
        <w:rPr>
          <w:sz w:val="28"/>
        </w:rPr>
        <w:t xml:space="preserve"> муниципального </w:t>
      </w:r>
      <w:r>
        <w:rPr>
          <w:sz w:val="28"/>
        </w:rPr>
        <w:t>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5501EA" w:rsidRDefault="005501EA">
      <w:pPr>
        <w:jc w:val="both"/>
        <w:rPr>
          <w:b/>
          <w:sz w:val="28"/>
          <w:szCs w:val="28"/>
        </w:rPr>
        <w:sectPr w:rsidR="005501EA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5501EA" w:rsidRPr="005501EA" w:rsidRDefault="005501EA" w:rsidP="006F0141">
      <w:pPr>
        <w:spacing w:line="240" w:lineRule="exact"/>
        <w:ind w:left="5387"/>
        <w:jc w:val="center"/>
        <w:rPr>
          <w:sz w:val="24"/>
          <w:szCs w:val="24"/>
        </w:rPr>
      </w:pPr>
      <w:r w:rsidRPr="005501EA">
        <w:rPr>
          <w:sz w:val="24"/>
          <w:szCs w:val="24"/>
        </w:rPr>
        <w:lastRenderedPageBreak/>
        <w:t>Утверждено</w:t>
      </w:r>
    </w:p>
    <w:p w:rsidR="005501EA" w:rsidRPr="005501EA" w:rsidRDefault="005501EA" w:rsidP="006F0141">
      <w:pPr>
        <w:spacing w:line="240" w:lineRule="exact"/>
        <w:ind w:left="5387"/>
        <w:jc w:val="center"/>
        <w:rPr>
          <w:sz w:val="24"/>
          <w:szCs w:val="24"/>
        </w:rPr>
      </w:pPr>
      <w:r w:rsidRPr="005501EA">
        <w:rPr>
          <w:sz w:val="24"/>
          <w:szCs w:val="24"/>
        </w:rPr>
        <w:t>постановлением Администрации</w:t>
      </w:r>
    </w:p>
    <w:p w:rsidR="005501EA" w:rsidRPr="005501EA" w:rsidRDefault="005501EA" w:rsidP="006F0141">
      <w:pPr>
        <w:spacing w:line="240" w:lineRule="exact"/>
        <w:ind w:left="5387"/>
        <w:jc w:val="center"/>
        <w:rPr>
          <w:sz w:val="24"/>
          <w:szCs w:val="24"/>
        </w:rPr>
      </w:pPr>
      <w:r w:rsidRPr="005501EA">
        <w:rPr>
          <w:sz w:val="24"/>
          <w:szCs w:val="24"/>
        </w:rPr>
        <w:t xml:space="preserve">муниципального округа </w:t>
      </w:r>
    </w:p>
    <w:p w:rsidR="005501EA" w:rsidRDefault="005501EA" w:rsidP="006F0141">
      <w:pPr>
        <w:spacing w:line="240" w:lineRule="exact"/>
        <w:ind w:left="5387"/>
        <w:jc w:val="center"/>
        <w:rPr>
          <w:sz w:val="24"/>
          <w:szCs w:val="24"/>
        </w:rPr>
      </w:pPr>
      <w:r w:rsidRPr="005501EA">
        <w:rPr>
          <w:sz w:val="24"/>
          <w:szCs w:val="24"/>
        </w:rPr>
        <w:t xml:space="preserve">от </w:t>
      </w:r>
      <w:r>
        <w:rPr>
          <w:sz w:val="24"/>
          <w:szCs w:val="24"/>
        </w:rPr>
        <w:t>23.03.2026</w:t>
      </w:r>
      <w:r w:rsidRPr="005501EA">
        <w:rPr>
          <w:sz w:val="24"/>
          <w:szCs w:val="24"/>
        </w:rPr>
        <w:t xml:space="preserve"> № </w:t>
      </w:r>
      <w:r>
        <w:rPr>
          <w:sz w:val="24"/>
          <w:szCs w:val="24"/>
        </w:rPr>
        <w:t>705</w:t>
      </w:r>
    </w:p>
    <w:p w:rsidR="005501EA" w:rsidRDefault="005501EA" w:rsidP="005501EA">
      <w:pPr>
        <w:jc w:val="center"/>
        <w:rPr>
          <w:sz w:val="24"/>
          <w:szCs w:val="24"/>
        </w:rPr>
      </w:pPr>
    </w:p>
    <w:p w:rsidR="005501EA" w:rsidRPr="005501EA" w:rsidRDefault="005501EA" w:rsidP="005501EA">
      <w:pPr>
        <w:jc w:val="center"/>
        <w:rPr>
          <w:sz w:val="24"/>
          <w:szCs w:val="24"/>
        </w:rPr>
      </w:pPr>
    </w:p>
    <w:p w:rsidR="005501EA" w:rsidRPr="005501EA" w:rsidRDefault="005501EA" w:rsidP="005501EA">
      <w:pPr>
        <w:jc w:val="center"/>
        <w:rPr>
          <w:b/>
          <w:sz w:val="28"/>
          <w:szCs w:val="28"/>
        </w:rPr>
      </w:pPr>
      <w:r w:rsidRPr="005501EA">
        <w:rPr>
          <w:b/>
          <w:sz w:val="28"/>
          <w:szCs w:val="28"/>
        </w:rPr>
        <w:t>ПОРЯДОК ВЕДЕНИЯ МУНИЦИПАЛЬНОЙ ДОЛГОВОЙ КНИГИ</w:t>
      </w:r>
    </w:p>
    <w:p w:rsidR="005501EA" w:rsidRPr="00805738" w:rsidRDefault="005501EA" w:rsidP="005501EA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ВАЛДАЙСКОГО</w:t>
      </w:r>
      <w:r w:rsidRPr="00805738"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>ОКРУГА</w:t>
      </w:r>
    </w:p>
    <w:p w:rsidR="005501EA" w:rsidRDefault="005501EA" w:rsidP="005501EA">
      <w:pPr>
        <w:jc w:val="center"/>
        <w:rPr>
          <w:sz w:val="28"/>
          <w:szCs w:val="28"/>
        </w:rPr>
      </w:pPr>
    </w:p>
    <w:p w:rsidR="005501EA" w:rsidRPr="005501EA" w:rsidRDefault="005501EA" w:rsidP="005501EA">
      <w:pPr>
        <w:jc w:val="center"/>
        <w:rPr>
          <w:b/>
          <w:sz w:val="28"/>
          <w:szCs w:val="28"/>
        </w:rPr>
      </w:pPr>
      <w:r w:rsidRPr="005501EA">
        <w:rPr>
          <w:b/>
          <w:sz w:val="28"/>
          <w:szCs w:val="28"/>
        </w:rPr>
        <w:t>1. Общие положения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1.1. Долговые обязательства</w:t>
      </w:r>
      <w:r>
        <w:rPr>
          <w:sz w:val="28"/>
          <w:szCs w:val="28"/>
        </w:rPr>
        <w:t xml:space="preserve"> муниципального образования - Валдайского муниципального округа</w:t>
      </w:r>
      <w:r w:rsidRPr="00114D76">
        <w:rPr>
          <w:sz w:val="28"/>
          <w:szCs w:val="28"/>
        </w:rPr>
        <w:t xml:space="preserve"> (далее - долговые обязательства), входящие в состав </w:t>
      </w:r>
      <w:r>
        <w:rPr>
          <w:sz w:val="28"/>
          <w:szCs w:val="28"/>
        </w:rPr>
        <w:t xml:space="preserve">муниципального долга  </w:t>
      </w:r>
      <w:r w:rsidRPr="00114D76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100</w:t>
      </w:r>
      <w:r w:rsidRPr="00114D76">
        <w:rPr>
          <w:sz w:val="28"/>
          <w:szCs w:val="28"/>
        </w:rPr>
        <w:t xml:space="preserve"> Бюджетного кодекса Российской Федерации, подлежат обязательному учету (далее - регистрация).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 xml:space="preserve">1.2. Регистрация долговых обязательств осуществляется в </w:t>
      </w:r>
      <w:r>
        <w:rPr>
          <w:sz w:val="28"/>
          <w:szCs w:val="28"/>
        </w:rPr>
        <w:t xml:space="preserve">муниципальной </w:t>
      </w:r>
      <w:r w:rsidRPr="00114D76">
        <w:rPr>
          <w:sz w:val="28"/>
          <w:szCs w:val="28"/>
        </w:rPr>
        <w:t>долговой книге</w:t>
      </w:r>
      <w:r>
        <w:rPr>
          <w:sz w:val="28"/>
          <w:szCs w:val="28"/>
        </w:rPr>
        <w:t xml:space="preserve"> Валдайского муниципального округа (далее - </w:t>
      </w:r>
      <w:r w:rsidRPr="00114D76">
        <w:rPr>
          <w:sz w:val="28"/>
          <w:szCs w:val="28"/>
        </w:rPr>
        <w:t>долговой книге</w:t>
      </w:r>
      <w:r>
        <w:rPr>
          <w:sz w:val="28"/>
          <w:szCs w:val="28"/>
        </w:rPr>
        <w:t>)</w:t>
      </w:r>
      <w:r w:rsidRPr="00114D76">
        <w:rPr>
          <w:sz w:val="28"/>
          <w:szCs w:val="28"/>
        </w:rPr>
        <w:t>.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 xml:space="preserve">1.3. Долговая книга - это реестр долговых обязательств </w:t>
      </w:r>
      <w:r>
        <w:rPr>
          <w:sz w:val="28"/>
          <w:szCs w:val="28"/>
        </w:rPr>
        <w:t>округа</w:t>
      </w:r>
      <w:r w:rsidRPr="00114D76">
        <w:rPr>
          <w:sz w:val="28"/>
          <w:szCs w:val="28"/>
        </w:rPr>
        <w:t>, оформленных в соответствии с законодательством Российской Федерации (далее - реестр). Реестр содержит совокупность данных, зафиксированных на бумажном носителе и в электронно</w:t>
      </w:r>
      <w:r>
        <w:rPr>
          <w:sz w:val="28"/>
          <w:szCs w:val="28"/>
        </w:rPr>
        <w:t>м виде</w:t>
      </w:r>
      <w:r w:rsidRPr="00114D76">
        <w:rPr>
          <w:sz w:val="28"/>
          <w:szCs w:val="28"/>
        </w:rPr>
        <w:t xml:space="preserve">, которая обеспечивает идентификацию долговых обязательств, их учет по видам, срокам, кредиторам, позволяет оперативно представлять, получать, обрабатывать информацию о состоянии </w:t>
      </w:r>
      <w:r>
        <w:rPr>
          <w:sz w:val="28"/>
          <w:szCs w:val="28"/>
        </w:rPr>
        <w:t>муниципального долга Валдайского муниципального округа</w:t>
      </w:r>
      <w:r w:rsidRPr="00114D76">
        <w:rPr>
          <w:sz w:val="28"/>
          <w:szCs w:val="28"/>
        </w:rPr>
        <w:t>, составлять и представлять установленную отчетность.</w:t>
      </w:r>
    </w:p>
    <w:p w:rsidR="005501EA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1.4. Ведение долговой книги осуществляет</w:t>
      </w:r>
      <w:r>
        <w:rPr>
          <w:sz w:val="28"/>
          <w:szCs w:val="28"/>
        </w:rPr>
        <w:t xml:space="preserve"> отдел бухгалтерского учета и отчетности </w:t>
      </w:r>
      <w:r w:rsidRPr="00114D76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114D76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>Администрации Валдайского муниципального округа</w:t>
      </w:r>
      <w:r w:rsidRPr="00114D76">
        <w:rPr>
          <w:sz w:val="28"/>
          <w:szCs w:val="28"/>
        </w:rPr>
        <w:t>.</w:t>
      </w:r>
    </w:p>
    <w:p w:rsidR="005501EA" w:rsidRPr="000245BA" w:rsidRDefault="005501EA" w:rsidP="005501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0245BA">
        <w:rPr>
          <w:sz w:val="28"/>
          <w:szCs w:val="28"/>
        </w:rPr>
        <w:t>Ежемесячно по состоянию на первое число месяца данные Долг</w:t>
      </w:r>
      <w:r w:rsidRPr="000245BA">
        <w:rPr>
          <w:sz w:val="28"/>
          <w:szCs w:val="28"/>
        </w:rPr>
        <w:t>о</w:t>
      </w:r>
      <w:r w:rsidRPr="000245BA">
        <w:rPr>
          <w:sz w:val="28"/>
          <w:szCs w:val="28"/>
        </w:rPr>
        <w:t>вой книги выводятся на бумажный носитель в разрезе видов долговых обяз</w:t>
      </w:r>
      <w:r w:rsidRPr="000245BA">
        <w:rPr>
          <w:sz w:val="28"/>
          <w:szCs w:val="28"/>
        </w:rPr>
        <w:t>а</w:t>
      </w:r>
      <w:r w:rsidRPr="000245BA">
        <w:rPr>
          <w:sz w:val="28"/>
          <w:szCs w:val="28"/>
        </w:rPr>
        <w:t xml:space="preserve">тельств по форме согласно приложению к настоящему </w:t>
      </w:r>
      <w:r>
        <w:rPr>
          <w:sz w:val="28"/>
          <w:szCs w:val="28"/>
        </w:rPr>
        <w:t>Порядку</w:t>
      </w:r>
      <w:r w:rsidRPr="000245BA">
        <w:rPr>
          <w:sz w:val="28"/>
          <w:szCs w:val="28"/>
        </w:rPr>
        <w:t>. Долговая книга по окончании финансового года должна быть прошита,  пронумеров</w:t>
      </w:r>
      <w:r w:rsidRPr="000245BA">
        <w:rPr>
          <w:sz w:val="28"/>
          <w:szCs w:val="28"/>
        </w:rPr>
        <w:t>а</w:t>
      </w:r>
      <w:r w:rsidRPr="000245BA">
        <w:rPr>
          <w:sz w:val="28"/>
          <w:szCs w:val="28"/>
        </w:rPr>
        <w:t>на и скреплена печатью финансового органа.</w:t>
      </w:r>
    </w:p>
    <w:p w:rsidR="005501EA" w:rsidRPr="00114D76" w:rsidRDefault="005501EA" w:rsidP="005501EA">
      <w:pPr>
        <w:ind w:firstLine="540"/>
        <w:jc w:val="both"/>
        <w:rPr>
          <w:sz w:val="28"/>
          <w:szCs w:val="28"/>
        </w:rPr>
      </w:pPr>
    </w:p>
    <w:p w:rsidR="005501EA" w:rsidRPr="005501EA" w:rsidRDefault="005501EA" w:rsidP="005501EA">
      <w:pPr>
        <w:jc w:val="center"/>
        <w:rPr>
          <w:b/>
          <w:sz w:val="28"/>
          <w:szCs w:val="28"/>
        </w:rPr>
      </w:pPr>
      <w:r w:rsidRPr="005501EA">
        <w:rPr>
          <w:b/>
          <w:sz w:val="28"/>
          <w:szCs w:val="28"/>
        </w:rPr>
        <w:t>2. Ведение долговой книги</w:t>
      </w:r>
    </w:p>
    <w:p w:rsidR="005501EA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 xml:space="preserve">2.1. Долговая книга состоит из </w:t>
      </w:r>
      <w:r w:rsidRPr="007441B7">
        <w:rPr>
          <w:sz w:val="28"/>
          <w:szCs w:val="28"/>
        </w:rPr>
        <w:t>пяти</w:t>
      </w:r>
      <w:r>
        <w:rPr>
          <w:sz w:val="28"/>
          <w:szCs w:val="28"/>
        </w:rPr>
        <w:t xml:space="preserve"> </w:t>
      </w:r>
      <w:r w:rsidRPr="00114D76">
        <w:rPr>
          <w:sz w:val="28"/>
          <w:szCs w:val="28"/>
        </w:rPr>
        <w:t>разделов:</w:t>
      </w:r>
    </w:p>
    <w:p w:rsidR="005501EA" w:rsidRPr="00EB46E7" w:rsidRDefault="005501EA" w:rsidP="005501EA">
      <w:pPr>
        <w:ind w:firstLine="709"/>
        <w:jc w:val="both"/>
        <w:rPr>
          <w:sz w:val="28"/>
          <w:szCs w:val="28"/>
        </w:rPr>
      </w:pPr>
      <w:r w:rsidRPr="00EB46E7">
        <w:rPr>
          <w:sz w:val="28"/>
          <w:szCs w:val="28"/>
        </w:rPr>
        <w:t xml:space="preserve">2.1.1. </w:t>
      </w:r>
      <w:r>
        <w:rPr>
          <w:sz w:val="28"/>
          <w:szCs w:val="28"/>
        </w:rPr>
        <w:t>Д</w:t>
      </w:r>
      <w:r w:rsidRPr="00EB46E7">
        <w:rPr>
          <w:sz w:val="28"/>
          <w:szCs w:val="28"/>
        </w:rPr>
        <w:t>олговы</w:t>
      </w:r>
      <w:r>
        <w:rPr>
          <w:sz w:val="28"/>
          <w:szCs w:val="28"/>
        </w:rPr>
        <w:t>е обязательства</w:t>
      </w:r>
      <w:r w:rsidRPr="00EB46E7">
        <w:rPr>
          <w:sz w:val="28"/>
          <w:szCs w:val="28"/>
        </w:rPr>
        <w:t xml:space="preserve"> по ценным бумагам муниципального образования;</w:t>
      </w:r>
    </w:p>
    <w:p w:rsidR="005501EA" w:rsidRPr="00EB46E7" w:rsidRDefault="005501EA" w:rsidP="005501EA">
      <w:pPr>
        <w:ind w:firstLine="709"/>
        <w:jc w:val="both"/>
        <w:rPr>
          <w:sz w:val="28"/>
          <w:szCs w:val="28"/>
        </w:rPr>
      </w:pPr>
      <w:r w:rsidRPr="00EB46E7">
        <w:rPr>
          <w:sz w:val="28"/>
          <w:szCs w:val="28"/>
        </w:rPr>
        <w:t xml:space="preserve">2.1.2. </w:t>
      </w:r>
      <w:r>
        <w:rPr>
          <w:sz w:val="28"/>
          <w:szCs w:val="28"/>
        </w:rPr>
        <w:t>Д</w:t>
      </w:r>
      <w:r w:rsidRPr="00EB46E7">
        <w:rPr>
          <w:sz w:val="28"/>
          <w:szCs w:val="28"/>
        </w:rPr>
        <w:t>олговы</w:t>
      </w:r>
      <w:r>
        <w:rPr>
          <w:sz w:val="28"/>
          <w:szCs w:val="28"/>
        </w:rPr>
        <w:t>е обязательства</w:t>
      </w:r>
      <w:r w:rsidRPr="00EB46E7">
        <w:rPr>
          <w:sz w:val="28"/>
          <w:szCs w:val="28"/>
        </w:rPr>
        <w:t xml:space="preserve"> по кредитам, полученным муниципальным образованием от кредитных организаций;</w:t>
      </w:r>
    </w:p>
    <w:p w:rsidR="005501EA" w:rsidRPr="00EB46E7" w:rsidRDefault="005501EA" w:rsidP="005501EA">
      <w:pPr>
        <w:ind w:firstLine="709"/>
        <w:jc w:val="both"/>
        <w:rPr>
          <w:sz w:val="28"/>
          <w:szCs w:val="28"/>
        </w:rPr>
      </w:pPr>
      <w:r w:rsidRPr="00EB46E7">
        <w:rPr>
          <w:sz w:val="28"/>
          <w:szCs w:val="28"/>
        </w:rPr>
        <w:t xml:space="preserve">2.1.3. </w:t>
      </w:r>
      <w:r>
        <w:rPr>
          <w:sz w:val="28"/>
          <w:szCs w:val="28"/>
        </w:rPr>
        <w:t>Д</w:t>
      </w:r>
      <w:r w:rsidRPr="00EB46E7">
        <w:rPr>
          <w:sz w:val="28"/>
          <w:szCs w:val="28"/>
        </w:rPr>
        <w:t>олговы</w:t>
      </w:r>
      <w:r>
        <w:rPr>
          <w:sz w:val="28"/>
          <w:szCs w:val="28"/>
        </w:rPr>
        <w:t>е обязательства</w:t>
      </w:r>
      <w:r w:rsidRPr="00EB46E7">
        <w:rPr>
          <w:sz w:val="28"/>
          <w:szCs w:val="28"/>
        </w:rPr>
        <w:t xml:space="preserve"> по гарантиям муниципального образования;</w:t>
      </w:r>
    </w:p>
    <w:p w:rsidR="005501EA" w:rsidRPr="00EB46E7" w:rsidRDefault="005501EA" w:rsidP="005501EA">
      <w:pPr>
        <w:ind w:firstLine="709"/>
        <w:jc w:val="both"/>
        <w:rPr>
          <w:sz w:val="28"/>
          <w:szCs w:val="28"/>
        </w:rPr>
      </w:pPr>
      <w:r w:rsidRPr="00EB46E7">
        <w:rPr>
          <w:sz w:val="28"/>
          <w:szCs w:val="28"/>
        </w:rPr>
        <w:lastRenderedPageBreak/>
        <w:t xml:space="preserve">2.1.4. </w:t>
      </w:r>
      <w:r>
        <w:rPr>
          <w:sz w:val="28"/>
          <w:szCs w:val="28"/>
        </w:rPr>
        <w:t>Д</w:t>
      </w:r>
      <w:r w:rsidRPr="00EB46E7">
        <w:rPr>
          <w:sz w:val="28"/>
          <w:szCs w:val="28"/>
        </w:rPr>
        <w:t>олговы</w:t>
      </w:r>
      <w:r>
        <w:rPr>
          <w:sz w:val="28"/>
          <w:szCs w:val="28"/>
        </w:rPr>
        <w:t>е обязательства</w:t>
      </w:r>
      <w:r w:rsidRPr="00EB46E7">
        <w:rPr>
          <w:sz w:val="28"/>
          <w:szCs w:val="28"/>
        </w:rPr>
        <w:t xml:space="preserve"> по бюджетным кредитам,</w:t>
      </w:r>
      <w:r>
        <w:rPr>
          <w:sz w:val="28"/>
          <w:szCs w:val="28"/>
        </w:rPr>
        <w:t xml:space="preserve"> </w:t>
      </w:r>
      <w:r w:rsidRPr="00EB46E7">
        <w:rPr>
          <w:sz w:val="28"/>
          <w:szCs w:val="28"/>
        </w:rPr>
        <w:t>привлеченным в местный бюджет от других бюджетов бюджетной системы Российской Федерации;</w:t>
      </w:r>
    </w:p>
    <w:p w:rsidR="005501EA" w:rsidRPr="00EB46E7" w:rsidRDefault="005501EA" w:rsidP="005501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 Д</w:t>
      </w:r>
      <w:r w:rsidRPr="00EB46E7">
        <w:rPr>
          <w:sz w:val="28"/>
          <w:szCs w:val="28"/>
        </w:rPr>
        <w:t>олговы</w:t>
      </w:r>
      <w:r>
        <w:rPr>
          <w:sz w:val="28"/>
          <w:szCs w:val="28"/>
        </w:rPr>
        <w:t>е обязательства</w:t>
      </w:r>
      <w:r w:rsidRPr="00EB46E7">
        <w:rPr>
          <w:sz w:val="28"/>
          <w:szCs w:val="28"/>
        </w:rPr>
        <w:t xml:space="preserve"> по иным долговым обязательствам муниципальных образований.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2.2. Внутри разделов долговой книги регистрационные записи осуществляются в хронологическом порядке.</w:t>
      </w:r>
    </w:p>
    <w:p w:rsidR="005501EA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2.3. Регистрационные записи в долговой книге производятся на основании документов (оригиналов или заверенных копий), подтверждающих возникновение долгового обязательства.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Каждое долговое обязательство регистрируется отдельно и имеет регистрационный код, который состоит из шести знаков: X-XX/XXX, где: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X - порядковый номер раздела долговой книги;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XX - две последние цифры года, в течение которого были подписаны документы по долговому обязательству;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XXX - порядковый номер долгового обязательства в разделе долговой книги.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2.4. Регистрационная запись в долговой книге производится в течение трех рабочих дней с момента возникновения долгового обязательства.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2.5. Долговое обязательство регистрируется в валюте долга. При представлении информации о состоянии долга и составлении отчетности долговые обязательства в иностранной валюте пересчитываются в валюту Российской Федерации по официальному курсу Центрального банка Российской Федерации (Банка России) на отчетную дату.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2.6. Регистрационная запись содержит следующие обязательные реквизиты: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порядковый номер;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дата регистрации;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полное наименование заемщика;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полное наименование кредитора;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наименование, дата, номер документа, которым оформлено долговое обязательство;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дата возникновения долгового обязательства;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сумма долгового обязательства;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114D76">
        <w:rPr>
          <w:sz w:val="28"/>
          <w:szCs w:val="28"/>
        </w:rPr>
        <w:t>погашения долгового обязательства;</w:t>
      </w:r>
    </w:p>
    <w:p w:rsidR="005501EA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стоимость обслуживания долгового обязательства;</w:t>
      </w:r>
    </w:p>
    <w:p w:rsidR="005501EA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форма обеспечения долгового обязательства.</w:t>
      </w:r>
    </w:p>
    <w:p w:rsidR="005501EA" w:rsidRDefault="005501EA" w:rsidP="005501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Информация о дате фактического погашения и объеме погашения обязательств, а также о дате и объеме исполнения обязательств по выданным муниципальным гарантиям Валдайского муниципального округа вносится в течение 2 рабочих дней, следующих за днем погашения обязательства (исполнения обязательства гаранта).</w:t>
      </w:r>
    </w:p>
    <w:p w:rsidR="005501EA" w:rsidRPr="00114D76" w:rsidRDefault="005501EA" w:rsidP="005501EA">
      <w:pPr>
        <w:ind w:firstLine="709"/>
        <w:jc w:val="both"/>
        <w:rPr>
          <w:sz w:val="28"/>
          <w:szCs w:val="28"/>
        </w:rPr>
      </w:pPr>
      <w:r w:rsidRPr="00114D76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114D76">
        <w:rPr>
          <w:sz w:val="28"/>
          <w:szCs w:val="28"/>
        </w:rPr>
        <w:t>. Информация, указанная в подпункт</w:t>
      </w:r>
      <w:r>
        <w:rPr>
          <w:sz w:val="28"/>
          <w:szCs w:val="28"/>
        </w:rPr>
        <w:t>ах</w:t>
      </w:r>
      <w:r w:rsidRPr="00114D76">
        <w:rPr>
          <w:sz w:val="28"/>
          <w:szCs w:val="28"/>
        </w:rPr>
        <w:t xml:space="preserve"> 2.6</w:t>
      </w:r>
      <w:r>
        <w:rPr>
          <w:sz w:val="28"/>
          <w:szCs w:val="28"/>
        </w:rPr>
        <w:t>-2.7</w:t>
      </w:r>
      <w:r w:rsidRPr="00114D76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Pr="00114D76">
        <w:rPr>
          <w:sz w:val="28"/>
          <w:szCs w:val="28"/>
        </w:rPr>
        <w:t xml:space="preserve">, отражается в долговой книге на основании оригиналов (копий) платежных документов, выписок со счетов, актов сверки задолженности и других </w:t>
      </w:r>
      <w:r w:rsidRPr="00114D76">
        <w:rPr>
          <w:sz w:val="28"/>
          <w:szCs w:val="28"/>
        </w:rPr>
        <w:lastRenderedPageBreak/>
        <w:t xml:space="preserve">документов, подтверждающих возникновение, изменение и погашение долга </w:t>
      </w:r>
      <w:r>
        <w:rPr>
          <w:sz w:val="28"/>
          <w:szCs w:val="28"/>
        </w:rPr>
        <w:t>муниципального округа</w:t>
      </w:r>
      <w:r w:rsidRPr="00114D76">
        <w:rPr>
          <w:sz w:val="28"/>
          <w:szCs w:val="28"/>
        </w:rPr>
        <w:t>.</w:t>
      </w:r>
    </w:p>
    <w:p w:rsidR="005501EA" w:rsidRDefault="005501EA" w:rsidP="005501EA">
      <w:pPr>
        <w:ind w:firstLine="709"/>
        <w:jc w:val="both"/>
        <w:rPr>
          <w:sz w:val="28"/>
          <w:szCs w:val="28"/>
        </w:rPr>
      </w:pPr>
      <w:r w:rsidRPr="0034630C">
        <w:rPr>
          <w:sz w:val="28"/>
          <w:szCs w:val="28"/>
        </w:rPr>
        <w:t>2.</w:t>
      </w:r>
      <w:r>
        <w:rPr>
          <w:sz w:val="28"/>
          <w:szCs w:val="28"/>
        </w:rPr>
        <w:t xml:space="preserve">9. </w:t>
      </w:r>
      <w:r w:rsidRPr="0034630C">
        <w:rPr>
          <w:sz w:val="28"/>
          <w:szCs w:val="28"/>
        </w:rPr>
        <w:t>Списание долга по данному долговому обязательству производится  после полного выполнения обязательств перед кредитором  либо по осно</w:t>
      </w:r>
      <w:r>
        <w:rPr>
          <w:sz w:val="28"/>
          <w:szCs w:val="28"/>
        </w:rPr>
        <w:t>ваниям, установленным статьей 100</w:t>
      </w:r>
      <w:r w:rsidRPr="0034630C">
        <w:rPr>
          <w:sz w:val="28"/>
          <w:szCs w:val="28"/>
        </w:rPr>
        <w:t>.1 Бюджетного кодекса Российской Федерации.</w:t>
      </w:r>
    </w:p>
    <w:p w:rsidR="005501EA" w:rsidRPr="00BA4B6B" w:rsidRDefault="005501EA" w:rsidP="005501EA">
      <w:pPr>
        <w:ind w:firstLine="540"/>
        <w:jc w:val="both"/>
        <w:rPr>
          <w:sz w:val="28"/>
          <w:szCs w:val="28"/>
        </w:rPr>
      </w:pPr>
    </w:p>
    <w:p w:rsidR="005501EA" w:rsidRPr="005501EA" w:rsidRDefault="005501EA" w:rsidP="005501EA">
      <w:pPr>
        <w:spacing w:line="240" w:lineRule="exact"/>
        <w:jc w:val="center"/>
        <w:rPr>
          <w:b/>
          <w:sz w:val="28"/>
          <w:szCs w:val="28"/>
        </w:rPr>
      </w:pPr>
      <w:r w:rsidRPr="005501EA">
        <w:rPr>
          <w:b/>
          <w:sz w:val="28"/>
          <w:szCs w:val="28"/>
        </w:rPr>
        <w:t>3. Представление информации о состоянии</w:t>
      </w:r>
    </w:p>
    <w:p w:rsidR="005501EA" w:rsidRPr="005501EA" w:rsidRDefault="005501EA" w:rsidP="005501EA">
      <w:pPr>
        <w:spacing w:line="240" w:lineRule="exact"/>
        <w:jc w:val="center"/>
        <w:rPr>
          <w:b/>
          <w:sz w:val="28"/>
          <w:szCs w:val="28"/>
        </w:rPr>
      </w:pPr>
      <w:r w:rsidRPr="005501EA">
        <w:rPr>
          <w:b/>
          <w:sz w:val="28"/>
          <w:szCs w:val="28"/>
        </w:rPr>
        <w:t>муниципального долга Валдайского муниципального округа</w:t>
      </w:r>
    </w:p>
    <w:p w:rsidR="005501EA" w:rsidRDefault="005501EA" w:rsidP="006F0141">
      <w:pPr>
        <w:shd w:val="clear" w:color="auto" w:fill="FFFFFF"/>
        <w:tabs>
          <w:tab w:val="left" w:pos="1109"/>
        </w:tabs>
        <w:ind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3.1. </w:t>
      </w:r>
      <w:r>
        <w:rPr>
          <w:spacing w:val="3"/>
          <w:sz w:val="28"/>
          <w:szCs w:val="28"/>
        </w:rPr>
        <w:t xml:space="preserve">Муниципальная долговая книга ведется в электронном виде. По </w:t>
      </w:r>
      <w:r>
        <w:rPr>
          <w:sz w:val="28"/>
          <w:szCs w:val="28"/>
        </w:rPr>
        <w:t xml:space="preserve">окончании финансового года муниципальная долговая книга формируется на </w:t>
      </w:r>
      <w:r>
        <w:rPr>
          <w:spacing w:val="-1"/>
          <w:sz w:val="28"/>
          <w:szCs w:val="28"/>
        </w:rPr>
        <w:t xml:space="preserve">бумажном носителе, брошюруется и скрепляется печатью комитета финансов </w:t>
      </w:r>
      <w:r>
        <w:rPr>
          <w:sz w:val="28"/>
          <w:szCs w:val="28"/>
        </w:rPr>
        <w:t>Администрации Валдайского муниципального округа.</w:t>
      </w:r>
    </w:p>
    <w:p w:rsidR="005501EA" w:rsidRDefault="005501EA" w:rsidP="006F01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Муниципальная долговая книга является обязательным приложением к </w:t>
      </w:r>
      <w:r>
        <w:rPr>
          <w:spacing w:val="2"/>
          <w:sz w:val="28"/>
          <w:szCs w:val="28"/>
        </w:rPr>
        <w:t xml:space="preserve">годовому отчету об исполнении бюджета </w:t>
      </w:r>
      <w:r>
        <w:rPr>
          <w:sz w:val="28"/>
          <w:szCs w:val="28"/>
        </w:rPr>
        <w:t>Валдайского</w:t>
      </w:r>
      <w:r>
        <w:rPr>
          <w:spacing w:val="2"/>
          <w:sz w:val="28"/>
          <w:szCs w:val="28"/>
        </w:rPr>
        <w:t xml:space="preserve"> муниципального </w:t>
      </w:r>
      <w:r>
        <w:rPr>
          <w:spacing w:val="-5"/>
          <w:sz w:val="28"/>
          <w:szCs w:val="28"/>
        </w:rPr>
        <w:t>округа.</w:t>
      </w:r>
    </w:p>
    <w:p w:rsidR="005501EA" w:rsidRDefault="005501EA" w:rsidP="006F0141">
      <w:pPr>
        <w:shd w:val="clear" w:color="auto" w:fill="FFFFFF"/>
        <w:tabs>
          <w:tab w:val="left" w:pos="1109"/>
        </w:tabs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3.2</w:t>
      </w:r>
      <w:r w:rsidR="006F0141">
        <w:rPr>
          <w:spacing w:val="-10"/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Информация о долговых обязательствах </w:t>
      </w:r>
      <w:r w:rsidRPr="000245BA">
        <w:rPr>
          <w:sz w:val="28"/>
          <w:szCs w:val="28"/>
        </w:rPr>
        <w:t>отраженных в Долговой книге, подлежит передаче Министерству финансов Новгородской области</w:t>
      </w:r>
      <w:r>
        <w:rPr>
          <w:spacing w:val="-1"/>
          <w:sz w:val="28"/>
          <w:szCs w:val="28"/>
        </w:rPr>
        <w:t>.</w:t>
      </w:r>
      <w:r w:rsidRPr="008D1235">
        <w:rPr>
          <w:sz w:val="28"/>
          <w:szCs w:val="28"/>
        </w:rPr>
        <w:t xml:space="preserve"> </w:t>
      </w:r>
      <w:r w:rsidRPr="000245BA">
        <w:rPr>
          <w:sz w:val="28"/>
          <w:szCs w:val="28"/>
        </w:rPr>
        <w:t>Состав информации, порядок и сроки е</w:t>
      </w:r>
      <w:r>
        <w:rPr>
          <w:sz w:val="28"/>
          <w:szCs w:val="28"/>
        </w:rPr>
        <w:t>е</w:t>
      </w:r>
      <w:r w:rsidRPr="000245BA">
        <w:rPr>
          <w:sz w:val="28"/>
          <w:szCs w:val="28"/>
        </w:rPr>
        <w:t xml:space="preserve"> передачи определяет Министерство финансов Новгородской области</w:t>
      </w:r>
      <w:r>
        <w:rPr>
          <w:sz w:val="28"/>
          <w:szCs w:val="28"/>
        </w:rPr>
        <w:t>.</w:t>
      </w:r>
    </w:p>
    <w:p w:rsidR="005501EA" w:rsidRPr="000245BA" w:rsidRDefault="005501EA" w:rsidP="006F0141">
      <w:pPr>
        <w:ind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3.3.</w:t>
      </w:r>
      <w:r w:rsidR="006F0141"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Пользователями информации, включенной в долговую книгу, </w:t>
      </w:r>
      <w:r>
        <w:rPr>
          <w:spacing w:val="2"/>
          <w:sz w:val="28"/>
          <w:szCs w:val="28"/>
        </w:rPr>
        <w:t xml:space="preserve">являются органы местного самоуправления в соответствии с их </w:t>
      </w:r>
      <w:r>
        <w:rPr>
          <w:spacing w:val="-3"/>
          <w:sz w:val="28"/>
          <w:szCs w:val="28"/>
        </w:rPr>
        <w:t xml:space="preserve">полномочиями, а также кредиторы </w:t>
      </w:r>
      <w:r>
        <w:rPr>
          <w:sz w:val="28"/>
          <w:szCs w:val="28"/>
        </w:rPr>
        <w:t>Валдайского</w:t>
      </w:r>
      <w:r>
        <w:rPr>
          <w:spacing w:val="-3"/>
          <w:sz w:val="28"/>
          <w:szCs w:val="28"/>
        </w:rPr>
        <w:t xml:space="preserve"> муниципального округа.</w:t>
      </w:r>
      <w:r w:rsidRPr="008D1235">
        <w:rPr>
          <w:sz w:val="28"/>
          <w:szCs w:val="28"/>
        </w:rPr>
        <w:t xml:space="preserve"> </w:t>
      </w:r>
      <w:r w:rsidRPr="000245BA">
        <w:rPr>
          <w:sz w:val="28"/>
          <w:szCs w:val="28"/>
        </w:rPr>
        <w:t>Выписка из Долговой книги предоставляется на основании письменного запроса за подписью уполномоченного лица кредитора, если иной порядок не предусмотрен м</w:t>
      </w:r>
      <w:r w:rsidRPr="000245BA">
        <w:rPr>
          <w:sz w:val="28"/>
          <w:szCs w:val="28"/>
        </w:rPr>
        <w:t>у</w:t>
      </w:r>
      <w:r w:rsidRPr="000245BA">
        <w:rPr>
          <w:sz w:val="28"/>
          <w:szCs w:val="28"/>
        </w:rPr>
        <w:t>ниципальным контрактом, договором, иными предусмотренными законод</w:t>
      </w:r>
      <w:r w:rsidRPr="000245BA">
        <w:rPr>
          <w:sz w:val="28"/>
          <w:szCs w:val="28"/>
        </w:rPr>
        <w:t>а</w:t>
      </w:r>
      <w:r w:rsidRPr="000245BA">
        <w:rPr>
          <w:sz w:val="28"/>
          <w:szCs w:val="28"/>
        </w:rPr>
        <w:t>тельством документами, на основании которых возникают долговые обяз</w:t>
      </w:r>
      <w:r w:rsidRPr="000245BA">
        <w:rPr>
          <w:sz w:val="28"/>
          <w:szCs w:val="28"/>
        </w:rPr>
        <w:t>а</w:t>
      </w:r>
      <w:r w:rsidRPr="000245BA">
        <w:rPr>
          <w:sz w:val="28"/>
          <w:szCs w:val="28"/>
        </w:rPr>
        <w:t>тельства. Срок предоставления выписки составляет 3 рабочих дня</w:t>
      </w:r>
      <w:r>
        <w:rPr>
          <w:sz w:val="28"/>
          <w:szCs w:val="28"/>
        </w:rPr>
        <w:t>,</w:t>
      </w:r>
      <w:r w:rsidRPr="000245BA">
        <w:rPr>
          <w:sz w:val="28"/>
          <w:szCs w:val="28"/>
        </w:rPr>
        <w:t xml:space="preserve"> с даты п</w:t>
      </w:r>
      <w:r w:rsidRPr="000245BA">
        <w:rPr>
          <w:sz w:val="28"/>
          <w:szCs w:val="28"/>
        </w:rPr>
        <w:t>о</w:t>
      </w:r>
      <w:r w:rsidRPr="000245BA">
        <w:rPr>
          <w:sz w:val="28"/>
          <w:szCs w:val="28"/>
        </w:rPr>
        <w:t>ступления запроса.</w:t>
      </w:r>
    </w:p>
    <w:p w:rsidR="005501EA" w:rsidRDefault="005501EA" w:rsidP="006F01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юридические лица могут получить справочную информацию из </w:t>
      </w:r>
      <w:r>
        <w:rPr>
          <w:spacing w:val="-1"/>
          <w:sz w:val="28"/>
          <w:szCs w:val="28"/>
        </w:rPr>
        <w:t>долговой книги по решению руководителя финансового органа на основании письменного запроса и обоснования запрашиваемой информации.</w:t>
      </w:r>
    </w:p>
    <w:p w:rsidR="005501EA" w:rsidRPr="005720E8" w:rsidRDefault="005501EA" w:rsidP="006F0141">
      <w:pPr>
        <w:ind w:firstLine="709"/>
        <w:jc w:val="both"/>
        <w:rPr>
          <w:sz w:val="28"/>
          <w:szCs w:val="28"/>
        </w:rPr>
      </w:pPr>
      <w:r w:rsidRPr="005720E8">
        <w:rPr>
          <w:spacing w:val="7"/>
          <w:sz w:val="28"/>
          <w:szCs w:val="28"/>
        </w:rPr>
        <w:t xml:space="preserve">Информация представляется в течение пяти рабочих дней со дня </w:t>
      </w:r>
      <w:r w:rsidRPr="005720E8">
        <w:rPr>
          <w:spacing w:val="-1"/>
          <w:sz w:val="28"/>
          <w:szCs w:val="28"/>
        </w:rPr>
        <w:t>получения запроса</w:t>
      </w:r>
      <w:r>
        <w:rPr>
          <w:spacing w:val="-1"/>
          <w:sz w:val="28"/>
          <w:szCs w:val="28"/>
        </w:rPr>
        <w:t>.</w:t>
      </w:r>
    </w:p>
    <w:p w:rsidR="006F0141" w:rsidRDefault="006F0141">
      <w:pPr>
        <w:jc w:val="both"/>
        <w:rPr>
          <w:b/>
          <w:sz w:val="28"/>
          <w:szCs w:val="28"/>
        </w:rPr>
        <w:sectPr w:rsidR="006F0141" w:rsidSect="005501EA">
          <w:pgSz w:w="11907" w:h="16840" w:code="9"/>
          <w:pgMar w:top="1134" w:right="567" w:bottom="1134" w:left="1985" w:header="720" w:footer="720" w:gutter="0"/>
          <w:cols w:space="720"/>
          <w:docGrid w:linePitch="272"/>
        </w:sectPr>
      </w:pPr>
    </w:p>
    <w:tbl>
      <w:tblPr>
        <w:tblStyle w:val="aff8"/>
        <w:tblpPr w:leftFromText="180" w:rightFromText="180" w:horzAnchor="margin" w:tblpY="-495"/>
        <w:tblW w:w="14695" w:type="dxa"/>
        <w:tblLook w:val="04A0"/>
      </w:tblPr>
      <w:tblGrid>
        <w:gridCol w:w="724"/>
        <w:gridCol w:w="868"/>
        <w:gridCol w:w="505"/>
        <w:gridCol w:w="429"/>
        <w:gridCol w:w="753"/>
        <w:gridCol w:w="609"/>
        <w:gridCol w:w="796"/>
        <w:gridCol w:w="778"/>
        <w:gridCol w:w="757"/>
        <w:gridCol w:w="705"/>
        <w:gridCol w:w="699"/>
        <w:gridCol w:w="681"/>
        <w:gridCol w:w="699"/>
        <w:gridCol w:w="698"/>
        <w:gridCol w:w="888"/>
        <w:gridCol w:w="888"/>
        <w:gridCol w:w="888"/>
        <w:gridCol w:w="888"/>
        <w:gridCol w:w="660"/>
        <w:gridCol w:w="875"/>
      </w:tblGrid>
      <w:tr w:rsidR="006F0141" w:rsidRPr="006F0141" w:rsidTr="006F0141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3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color w:val="auto"/>
                <w:sz w:val="22"/>
                <w:szCs w:val="22"/>
              </w:rPr>
            </w:pPr>
            <w:r w:rsidRPr="006F0141">
              <w:rPr>
                <w:color w:val="auto"/>
                <w:sz w:val="22"/>
                <w:szCs w:val="22"/>
              </w:rPr>
              <w:t xml:space="preserve">Приложение к Порядку ведения муниципальной долговой книги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F0141" w:rsidRPr="006F0141" w:rsidTr="006F0141">
        <w:trPr>
          <w:trHeight w:val="26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4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Default="006F0141" w:rsidP="006F0141">
            <w:pPr>
              <w:spacing w:line="240" w:lineRule="exact"/>
              <w:rPr>
                <w:sz w:val="22"/>
                <w:szCs w:val="22"/>
              </w:rPr>
            </w:pPr>
            <w:r w:rsidRPr="006F0141">
              <w:rPr>
                <w:sz w:val="22"/>
                <w:szCs w:val="22"/>
              </w:rPr>
              <w:t>утвержденной постановлением Администрации Валдайского муниципального округа</w:t>
            </w:r>
            <w:r>
              <w:rPr>
                <w:sz w:val="22"/>
                <w:szCs w:val="22"/>
              </w:rPr>
              <w:t xml:space="preserve"> </w:t>
            </w:r>
          </w:p>
          <w:p w:rsidR="006F0141" w:rsidRPr="006F0141" w:rsidRDefault="006F0141" w:rsidP="006F014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23.03.2026 № 705</w:t>
            </w:r>
          </w:p>
        </w:tc>
      </w:tr>
      <w:tr w:rsidR="006F0141" w:rsidRPr="006F0141" w:rsidTr="006F0141">
        <w:trPr>
          <w:trHeight w:val="390"/>
        </w:trPr>
        <w:tc>
          <w:tcPr>
            <w:tcW w:w="825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6F0141">
              <w:rPr>
                <w:b/>
                <w:bCs/>
                <w:sz w:val="24"/>
                <w:szCs w:val="24"/>
              </w:rPr>
              <w:t xml:space="preserve">Информация из муниципальной долговой книги 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6F0141">
              <w:rPr>
                <w:b/>
                <w:bCs/>
                <w:sz w:val="24"/>
                <w:szCs w:val="24"/>
              </w:rPr>
              <w:t>Валдайского мун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6F0141">
              <w:rPr>
                <w:b/>
                <w:bCs/>
                <w:sz w:val="24"/>
                <w:szCs w:val="24"/>
              </w:rPr>
              <w:t>ципального округа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rPr>
                <w:rFonts w:ascii="Arial CYR" w:hAnsi="Arial CYR" w:cs="Arial CY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rPr>
                <w:rFonts w:ascii="Arial CYR" w:hAnsi="Arial CYR" w:cs="Arial CY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rPr>
                <w:rFonts w:ascii="Arial CYR" w:hAnsi="Arial CYR" w:cs="Arial CY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F0141" w:rsidRPr="006F0141" w:rsidRDefault="006F0141" w:rsidP="006F0141">
            <w:pPr>
              <w:rPr>
                <w:rFonts w:ascii="Arial CYR" w:hAnsi="Arial CYR" w:cs="Arial CYR"/>
              </w:rPr>
            </w:pPr>
          </w:p>
        </w:tc>
      </w:tr>
      <w:tr w:rsidR="006F0141" w:rsidRPr="006F0141" w:rsidTr="006F0141">
        <w:trPr>
          <w:trHeight w:val="364"/>
        </w:trPr>
        <w:tc>
          <w:tcPr>
            <w:tcW w:w="61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F0141">
              <w:rPr>
                <w:sz w:val="24"/>
                <w:szCs w:val="24"/>
              </w:rPr>
              <w:t>по состоянию на        г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0141" w:rsidRPr="006F0141" w:rsidRDefault="006F0141" w:rsidP="006F0141">
            <w:pPr>
              <w:spacing w:line="240" w:lineRule="exact"/>
              <w:rPr>
                <w:rFonts w:ascii="Arial CYR" w:hAnsi="Arial CYR" w:cs="Arial CY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0141" w:rsidRPr="006F0141" w:rsidRDefault="006F0141" w:rsidP="006F0141">
            <w:pPr>
              <w:rPr>
                <w:rFonts w:ascii="Arial CYR" w:hAnsi="Arial CYR" w:cs="Arial CYR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0141" w:rsidRPr="006F0141" w:rsidRDefault="006F0141" w:rsidP="006F0141">
            <w:pPr>
              <w:rPr>
                <w:rFonts w:ascii="Arial CYR" w:hAnsi="Arial CYR" w:cs="Arial CY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0141" w:rsidRPr="006F0141" w:rsidRDefault="006F0141" w:rsidP="006F0141">
            <w:pPr>
              <w:rPr>
                <w:rFonts w:ascii="Arial CYR" w:hAnsi="Arial CYR" w:cs="Arial CY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0141" w:rsidRPr="006F0141" w:rsidRDefault="006F0141" w:rsidP="006F0141">
            <w:pPr>
              <w:rPr>
                <w:rFonts w:ascii="Arial CYR" w:hAnsi="Arial CYR" w:cs="Arial CYR"/>
              </w:rPr>
            </w:pPr>
          </w:p>
        </w:tc>
      </w:tr>
      <w:tr w:rsidR="006F0141" w:rsidRPr="006F0141" w:rsidTr="006F0141">
        <w:trPr>
          <w:trHeight w:val="1005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Регист рационный номер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Реквизиты договора или соглашения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Основание для заключения договора или соглашения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Срок возврата кредита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Предельный объем долговых обязательств по договору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Объем фактически полученного кредита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Процентная ставка по кредиту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Объем погашения основного долга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Начислено процентов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Уплачено процентов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Начислено штрафных санкций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Уплачено штрафных санкций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Задолженность по процентам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Задолженность по основному долгу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Задолженность по штрафным санкциям по основному долгу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Задолженность по  штрафным санкциям по %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Итого задолжен-ность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</w:tcBorders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в том числе просроченная задолженность</w:t>
            </w:r>
          </w:p>
        </w:tc>
      </w:tr>
      <w:tr w:rsidR="006F0141" w:rsidRPr="006F0141" w:rsidTr="006F0141">
        <w:trPr>
          <w:trHeight w:val="1005"/>
        </w:trPr>
        <w:tc>
          <w:tcPr>
            <w:tcW w:w="720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863" w:type="dxa"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Наименование кредитора</w:t>
            </w:r>
          </w:p>
        </w:tc>
        <w:tc>
          <w:tcPr>
            <w:tcW w:w="502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Номер</w:t>
            </w:r>
          </w:p>
        </w:tc>
        <w:tc>
          <w:tcPr>
            <w:tcW w:w="427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6F014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48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606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791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773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752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677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882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882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882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882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869" w:type="dxa"/>
            <w:vMerge/>
            <w:hideMark/>
          </w:tcPr>
          <w:p w:rsidR="006F0141" w:rsidRPr="006F0141" w:rsidRDefault="006F0141" w:rsidP="006F014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</w:tr>
      <w:tr w:rsidR="006F0141" w:rsidRPr="006F0141" w:rsidTr="006F0141">
        <w:trPr>
          <w:trHeight w:val="278"/>
        </w:trPr>
        <w:tc>
          <w:tcPr>
            <w:tcW w:w="720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1</w:t>
            </w:r>
          </w:p>
        </w:tc>
        <w:tc>
          <w:tcPr>
            <w:tcW w:w="1792" w:type="dxa"/>
            <w:gridSpan w:val="3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2</w:t>
            </w:r>
          </w:p>
        </w:tc>
        <w:tc>
          <w:tcPr>
            <w:tcW w:w="748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3</w:t>
            </w:r>
          </w:p>
        </w:tc>
        <w:tc>
          <w:tcPr>
            <w:tcW w:w="606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4</w:t>
            </w:r>
          </w:p>
        </w:tc>
        <w:tc>
          <w:tcPr>
            <w:tcW w:w="791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5</w:t>
            </w:r>
          </w:p>
        </w:tc>
        <w:tc>
          <w:tcPr>
            <w:tcW w:w="773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6</w:t>
            </w:r>
          </w:p>
        </w:tc>
        <w:tc>
          <w:tcPr>
            <w:tcW w:w="752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7</w:t>
            </w:r>
          </w:p>
        </w:tc>
        <w:tc>
          <w:tcPr>
            <w:tcW w:w="701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8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9</w:t>
            </w:r>
          </w:p>
        </w:tc>
        <w:tc>
          <w:tcPr>
            <w:tcW w:w="677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10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11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12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13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14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15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16</w:t>
            </w:r>
          </w:p>
        </w:tc>
        <w:tc>
          <w:tcPr>
            <w:tcW w:w="656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17</w:t>
            </w:r>
          </w:p>
        </w:tc>
        <w:tc>
          <w:tcPr>
            <w:tcW w:w="869" w:type="dxa"/>
            <w:noWrap/>
            <w:hideMark/>
          </w:tcPr>
          <w:p w:rsidR="006F0141" w:rsidRPr="006F0141" w:rsidRDefault="006F0141" w:rsidP="006F0141">
            <w:pPr>
              <w:spacing w:line="240" w:lineRule="exact"/>
              <w:jc w:val="center"/>
              <w:rPr>
                <w:b/>
              </w:rPr>
            </w:pPr>
            <w:r w:rsidRPr="006F0141">
              <w:rPr>
                <w:b/>
              </w:rPr>
              <w:t>18</w:t>
            </w:r>
          </w:p>
        </w:tc>
      </w:tr>
      <w:tr w:rsidR="006F0141" w:rsidRPr="006F0141" w:rsidTr="006F0141">
        <w:trPr>
          <w:trHeight w:val="300"/>
        </w:trPr>
        <w:tc>
          <w:tcPr>
            <w:tcW w:w="720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3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50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427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48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5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77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9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</w:tr>
      <w:tr w:rsidR="006F0141" w:rsidRPr="006F0141" w:rsidTr="006F0141">
        <w:trPr>
          <w:trHeight w:val="300"/>
        </w:trPr>
        <w:tc>
          <w:tcPr>
            <w:tcW w:w="720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3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50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427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48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5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77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9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</w:tr>
      <w:tr w:rsidR="006F0141" w:rsidRPr="006F0141" w:rsidTr="006F0141">
        <w:trPr>
          <w:trHeight w:val="300"/>
        </w:trPr>
        <w:tc>
          <w:tcPr>
            <w:tcW w:w="720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3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50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427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48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5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77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9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</w:tr>
      <w:tr w:rsidR="006F0141" w:rsidRPr="006F0141" w:rsidTr="006F0141">
        <w:trPr>
          <w:trHeight w:val="300"/>
        </w:trPr>
        <w:tc>
          <w:tcPr>
            <w:tcW w:w="720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3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50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427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48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5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77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9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</w:tr>
      <w:tr w:rsidR="006F0141" w:rsidRPr="006F0141" w:rsidTr="006F0141">
        <w:trPr>
          <w:trHeight w:val="300"/>
        </w:trPr>
        <w:tc>
          <w:tcPr>
            <w:tcW w:w="720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3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50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427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48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5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77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9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</w:tr>
      <w:tr w:rsidR="006F0141" w:rsidRPr="006F0141" w:rsidTr="006F0141">
        <w:trPr>
          <w:trHeight w:val="300"/>
        </w:trPr>
        <w:tc>
          <w:tcPr>
            <w:tcW w:w="720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3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50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427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48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5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77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9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</w:tr>
      <w:tr w:rsidR="006F0141" w:rsidRPr="006F0141" w:rsidTr="006F0141">
        <w:trPr>
          <w:trHeight w:val="300"/>
        </w:trPr>
        <w:tc>
          <w:tcPr>
            <w:tcW w:w="720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3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50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427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48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5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77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9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</w:tr>
      <w:tr w:rsidR="006F0141" w:rsidRPr="006F0141" w:rsidTr="006F0141">
        <w:trPr>
          <w:trHeight w:val="300"/>
        </w:trPr>
        <w:tc>
          <w:tcPr>
            <w:tcW w:w="720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3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50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427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48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5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77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9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</w:tr>
      <w:tr w:rsidR="006F0141" w:rsidRPr="006F0141" w:rsidTr="006F0141">
        <w:trPr>
          <w:trHeight w:val="300"/>
        </w:trPr>
        <w:tc>
          <w:tcPr>
            <w:tcW w:w="720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3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50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427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48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5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77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9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</w:tr>
      <w:tr w:rsidR="006F0141" w:rsidRPr="006F0141" w:rsidTr="006F0141">
        <w:trPr>
          <w:trHeight w:val="300"/>
        </w:trPr>
        <w:tc>
          <w:tcPr>
            <w:tcW w:w="720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3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50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427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48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06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52" w:type="dxa"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77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9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</w:tr>
      <w:tr w:rsidR="006F0141" w:rsidRPr="006F0141" w:rsidTr="006F0141">
        <w:trPr>
          <w:trHeight w:val="278"/>
        </w:trPr>
        <w:tc>
          <w:tcPr>
            <w:tcW w:w="720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b/>
                <w:bCs/>
              </w:rPr>
            </w:pPr>
            <w:r w:rsidRPr="006F0141">
              <w:rPr>
                <w:b/>
                <w:bCs/>
              </w:rPr>
              <w:t>ИТОГО:</w:t>
            </w:r>
          </w:p>
        </w:tc>
        <w:tc>
          <w:tcPr>
            <w:tcW w:w="863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х</w:t>
            </w:r>
          </w:p>
        </w:tc>
        <w:tc>
          <w:tcPr>
            <w:tcW w:w="502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х</w:t>
            </w:r>
          </w:p>
        </w:tc>
        <w:tc>
          <w:tcPr>
            <w:tcW w:w="427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х</w:t>
            </w:r>
          </w:p>
        </w:tc>
        <w:tc>
          <w:tcPr>
            <w:tcW w:w="748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х</w:t>
            </w:r>
          </w:p>
        </w:tc>
        <w:tc>
          <w:tcPr>
            <w:tcW w:w="606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х</w:t>
            </w:r>
          </w:p>
        </w:tc>
        <w:tc>
          <w:tcPr>
            <w:tcW w:w="79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52" w:type="dxa"/>
            <w:noWrap/>
            <w:hideMark/>
          </w:tcPr>
          <w:p w:rsidR="006F0141" w:rsidRPr="006F0141" w:rsidRDefault="006F0141" w:rsidP="006F0141">
            <w:pPr>
              <w:jc w:val="center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77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82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  <w:tc>
          <w:tcPr>
            <w:tcW w:w="869" w:type="dxa"/>
            <w:noWrap/>
            <w:hideMark/>
          </w:tcPr>
          <w:p w:rsidR="006F0141" w:rsidRPr="006F0141" w:rsidRDefault="006F0141" w:rsidP="006F0141">
            <w:pPr>
              <w:jc w:val="right"/>
              <w:rPr>
                <w:rFonts w:ascii="Arial CYR" w:hAnsi="Arial CYR" w:cs="Arial CYR"/>
              </w:rPr>
            </w:pPr>
            <w:r w:rsidRPr="006F0141">
              <w:rPr>
                <w:rFonts w:ascii="Arial CYR" w:hAnsi="Arial CYR" w:cs="Arial CYR"/>
              </w:rPr>
              <w:t> </w:t>
            </w:r>
          </w:p>
        </w:tc>
      </w:tr>
    </w:tbl>
    <w:p w:rsidR="005501EA" w:rsidRPr="005501EA" w:rsidRDefault="005501EA" w:rsidP="006F0141">
      <w:pPr>
        <w:jc w:val="both"/>
        <w:rPr>
          <w:b/>
          <w:sz w:val="28"/>
          <w:szCs w:val="28"/>
        </w:rPr>
      </w:pPr>
    </w:p>
    <w:sectPr w:rsidR="005501EA" w:rsidRPr="005501EA" w:rsidSect="006F0141">
      <w:pgSz w:w="16840" w:h="11907" w:orient="landscape" w:code="9"/>
      <w:pgMar w:top="1985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AD4" w:rsidRDefault="00DE0AD4" w:rsidP="00E62ADA">
      <w:r>
        <w:separator/>
      </w:r>
    </w:p>
  </w:endnote>
  <w:endnote w:type="continuationSeparator" w:id="1">
    <w:p w:rsidR="00DE0AD4" w:rsidRDefault="00DE0AD4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">
    <w:charset w:val="80"/>
    <w:family w:val="swiss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AD4" w:rsidRDefault="00DE0AD4" w:rsidP="00E62ADA">
      <w:r>
        <w:separator/>
      </w:r>
    </w:p>
  </w:footnote>
  <w:footnote w:type="continuationSeparator" w:id="1">
    <w:p w:rsidR="00DE0AD4" w:rsidRDefault="00DE0AD4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3F1C43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5501EA">
      <w:fldChar w:fldCharType="separate"/>
    </w:r>
    <w:r w:rsidR="00D66F7D">
      <w:rPr>
        <w:noProof/>
      </w:rPr>
      <w:t>5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239A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3F1C43"/>
    <w:rsid w:val="0041249C"/>
    <w:rsid w:val="00447BEE"/>
    <w:rsid w:val="00465CB6"/>
    <w:rsid w:val="0054389E"/>
    <w:rsid w:val="00545406"/>
    <w:rsid w:val="005501EA"/>
    <w:rsid w:val="005B4481"/>
    <w:rsid w:val="006F014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61F22"/>
    <w:rsid w:val="00D66D65"/>
    <w:rsid w:val="00D66F7D"/>
    <w:rsid w:val="00D87DEB"/>
    <w:rsid w:val="00DA1328"/>
    <w:rsid w:val="00DE0AD4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2026-03-26T08:31:00Z</cp:lastPrinted>
  <dcterms:created xsi:type="dcterms:W3CDTF">2026-03-26T08:32:00Z</dcterms:created>
  <dcterms:modified xsi:type="dcterms:W3CDTF">2026-03-26T08:32:00Z</dcterms:modified>
</cp:coreProperties>
</file>