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173" w:rsidRDefault="00A71EC4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692173" w:rsidRDefault="00A71EC4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692173" w:rsidRDefault="00692173">
      <w:pPr>
        <w:spacing w:line="80" w:lineRule="exact"/>
      </w:pPr>
    </w:p>
    <w:p w:rsidR="00692173" w:rsidRDefault="00A71EC4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692173" w:rsidRDefault="00692173">
      <w:pPr>
        <w:spacing w:line="80" w:lineRule="exact"/>
        <w:rPr>
          <w:sz w:val="12"/>
        </w:rPr>
      </w:pPr>
    </w:p>
    <w:p w:rsidR="00692173" w:rsidRDefault="00A71EC4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692173" w:rsidRDefault="00692173">
      <w:pPr>
        <w:jc w:val="center"/>
        <w:rPr>
          <w:rFonts w:ascii="Courier New" w:hAnsi="Courier New"/>
          <w:sz w:val="28"/>
        </w:rPr>
      </w:pPr>
    </w:p>
    <w:p w:rsidR="00692173" w:rsidRDefault="00A71EC4">
      <w:pPr>
        <w:jc w:val="center"/>
        <w:rPr>
          <w:sz w:val="28"/>
        </w:rPr>
      </w:pPr>
      <w:r>
        <w:rPr>
          <w:sz w:val="28"/>
        </w:rPr>
        <w:t>25.03.2025 № 760</w:t>
      </w:r>
    </w:p>
    <w:p w:rsidR="00692173" w:rsidRDefault="00A71EC4">
      <w:pPr>
        <w:jc w:val="center"/>
        <w:rPr>
          <w:sz w:val="28"/>
        </w:rPr>
      </w:pPr>
      <w:r>
        <w:rPr>
          <w:sz w:val="28"/>
        </w:rPr>
        <w:t>Валдай</w:t>
      </w:r>
    </w:p>
    <w:p w:rsidR="00692173" w:rsidRDefault="00692173">
      <w:pPr>
        <w:pStyle w:val="af4"/>
        <w:tabs>
          <w:tab w:val="left" w:pos="240"/>
          <w:tab w:val="left" w:pos="6240"/>
          <w:tab w:val="left" w:pos="6840"/>
        </w:tabs>
        <w:jc w:val="center"/>
      </w:pPr>
    </w:p>
    <w:p w:rsidR="00692173" w:rsidRDefault="00A71EC4">
      <w:pPr>
        <w:jc w:val="center"/>
        <w:rPr>
          <w:b/>
          <w:sz w:val="28"/>
        </w:rPr>
      </w:pPr>
      <w:bookmarkStart w:id="0" w:name="_GoBack"/>
      <w:r>
        <w:rPr>
          <w:b/>
          <w:sz w:val="28"/>
        </w:rPr>
        <w:t>О внесении изменений в административный регламент</w:t>
      </w:r>
    </w:p>
    <w:p w:rsidR="00692173" w:rsidRDefault="00A71EC4">
      <w:pPr>
        <w:jc w:val="center"/>
        <w:rPr>
          <w:b/>
          <w:sz w:val="28"/>
        </w:rPr>
      </w:pPr>
      <w:r>
        <w:rPr>
          <w:b/>
          <w:sz w:val="28"/>
        </w:rPr>
        <w:t>предоставления муниципальной услуги «О</w:t>
      </w:r>
      <w:r>
        <w:rPr>
          <w:b/>
          <w:sz w:val="28"/>
        </w:rPr>
        <w:t>рганизация и проведение аукциона по продаже земельного участка, находящегося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</w:t>
      </w:r>
    </w:p>
    <w:bookmarkEnd w:id="0"/>
    <w:p w:rsidR="00692173" w:rsidRDefault="00692173">
      <w:pPr>
        <w:jc w:val="center"/>
        <w:rPr>
          <w:sz w:val="28"/>
        </w:rPr>
      </w:pPr>
    </w:p>
    <w:p w:rsidR="00692173" w:rsidRDefault="00692173">
      <w:pPr>
        <w:jc w:val="center"/>
        <w:rPr>
          <w:sz w:val="28"/>
        </w:rPr>
      </w:pP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В соответ</w:t>
      </w:r>
      <w:r>
        <w:rPr>
          <w:sz w:val="28"/>
        </w:rPr>
        <w:t xml:space="preserve">ствии с Федеральным </w:t>
      </w:r>
      <w:hyperlink r:id="rId7" w:history="1">
        <w:r>
          <w:rPr>
            <w:rStyle w:val="afd"/>
            <w:color w:val="000000"/>
            <w:sz w:val="28"/>
            <w:u w:val="none"/>
          </w:rPr>
          <w:t>законом</w:t>
        </w:r>
      </w:hyperlink>
      <w:r>
        <w:rPr>
          <w:sz w:val="28"/>
        </w:rPr>
        <w:t xml:space="preserve"> от 27 июля 2010 года № 210-ФЗ «Об организации предоставления государственных и муниципальных услуг»</w:t>
      </w:r>
      <w:r>
        <w:rPr>
          <w:sz w:val="28"/>
        </w:rPr>
        <w:t xml:space="preserve">, </w:t>
      </w:r>
      <w:hyperlink r:id="rId8" w:history="1">
        <w:r>
          <w:rPr>
            <w:rStyle w:val="afd"/>
            <w:color w:val="000000"/>
            <w:sz w:val="28"/>
            <w:u w:val="none"/>
          </w:rPr>
          <w:t>постановлением</w:t>
        </w:r>
      </w:hyperlink>
      <w:r>
        <w:rPr>
          <w:sz w:val="28"/>
        </w:rPr>
        <w:t xml:space="preserve"> Администрации Валдайского муниципального района от 30.09.2011 № 1550 «О разработке и утверждении административных регламентов </w:t>
      </w:r>
      <w:r>
        <w:rPr>
          <w:sz w:val="28"/>
        </w:rPr>
        <w:t xml:space="preserve">предоставления муниципальных услуг» Администрация Валдайского муниципального района </w:t>
      </w:r>
      <w:r>
        <w:rPr>
          <w:b/>
          <w:caps/>
          <w:sz w:val="28"/>
        </w:rPr>
        <w:t>постановляет</w:t>
      </w:r>
      <w:r>
        <w:rPr>
          <w:sz w:val="28"/>
        </w:rPr>
        <w:t>:</w:t>
      </w:r>
    </w:p>
    <w:p w:rsidR="00692173" w:rsidRDefault="00A71E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 Внести изменения в административный регламент предоставления муниципальной услуги «Организация и проведение аукциона по продаже земельного участка, находящ</w:t>
      </w:r>
      <w:r>
        <w:rPr>
          <w:sz w:val="28"/>
        </w:rPr>
        <w:t xml:space="preserve">егося в муниципальной собственности или государственная собственность на который не разграничена, или аукциона на право заключения договора аренды такого земельного участка», утвержденный постановлением Администрации </w:t>
      </w:r>
    </w:p>
    <w:p w:rsidR="00692173" w:rsidRDefault="00A71E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муниципального района от 24.08.2020 № </w:t>
      </w:r>
      <w:r>
        <w:rPr>
          <w:sz w:val="28"/>
        </w:rPr>
        <w:t>1286 (далее-Регламент):</w:t>
      </w:r>
    </w:p>
    <w:p w:rsidR="00692173" w:rsidRDefault="00A71EC4">
      <w:pPr>
        <w:ind w:firstLine="709"/>
        <w:jc w:val="both"/>
        <w:outlineLvl w:val="1"/>
        <w:rPr>
          <w:sz w:val="28"/>
        </w:rPr>
      </w:pPr>
      <w:r>
        <w:rPr>
          <w:sz w:val="28"/>
        </w:rPr>
        <w:t>1.1.  пункте 3.1.4.5 третий абзац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«победитель аукциона обязан заключить договор купли-продажи (аренды) земельного участка в течение десяти рабочих дней со дня направления Уполномоченным органом проекта</w:t>
      </w:r>
      <w:r>
        <w:rPr>
          <w:sz w:val="28"/>
        </w:rPr>
        <w:t xml:space="preserve"> указанного договора;».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ab/>
        <w:t>пункт 3.1.4.7 признать утратившим силу;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ab/>
        <w:t>пункт 3.1.4.9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ab/>
        <w:t xml:space="preserve">«3.1.4.9. В течение трех рабочих дней со дня подписания протокола о результатах аукциона организатор аукциона осуществляет возврат задатков </w:t>
      </w:r>
      <w:r>
        <w:rPr>
          <w:sz w:val="28"/>
        </w:rPr>
        <w:t xml:space="preserve">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</w:t>
      </w:r>
      <w:r>
        <w:rPr>
          <w:sz w:val="28"/>
        </w:rPr>
        <w:lastRenderedPageBreak/>
        <w:t>в течение трех дней со дня подписания догов</w:t>
      </w:r>
      <w:r>
        <w:rPr>
          <w:sz w:val="28"/>
        </w:rPr>
        <w:t>ора купли-продажи или договора аренды земельного участка победителем аукциона.»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пункт 3.1.5.2 изложить в следующей редакции:</w:t>
      </w:r>
    </w:p>
    <w:p w:rsidR="00692173" w:rsidRDefault="00A71E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«3.1.5.2. Уполномоченный орган в пятидневный срок</w:t>
      </w:r>
      <w:r>
        <w:rPr>
          <w:sz w:val="28"/>
        </w:rPr>
        <w:t xml:space="preserve"> со дня составления протокола о результатах аукциона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участка.»;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>ункт 3.1.5.3 изложить в следующей редакции:</w:t>
      </w:r>
    </w:p>
    <w:p w:rsidR="00692173" w:rsidRDefault="00A71E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«3.1.5.3.  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</w:t>
      </w:r>
      <w:r>
        <w:rPr>
          <w:sz w:val="28"/>
        </w:rPr>
        <w:t>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в пятидневный срок со дня подписания протокола рассмотрения заявок обязан направить заявителю два</w:t>
      </w:r>
      <w:r>
        <w:rPr>
          <w:sz w:val="28"/>
        </w:rPr>
        <w:t xml:space="preserve"> экземпляра подписанного проекта договора купли-продажи или проекта договора аренды земельного участка для подписания.»;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пункт 3.1.5.5 изложить в следующей редакции:</w:t>
      </w:r>
    </w:p>
    <w:p w:rsidR="00692173" w:rsidRDefault="00A71EC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«3.1.5.5. Уполномоченный орган вправе объявить о проведении повторного аукциона, в случае,</w:t>
      </w:r>
      <w:r>
        <w:rPr>
          <w:sz w:val="28"/>
        </w:rPr>
        <w:t xml:space="preserve">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</w:t>
      </w:r>
      <w:r>
        <w:rPr>
          <w:sz w:val="28"/>
        </w:rPr>
        <w:t>равления им проекта договора купли-продажи или проекта договора аренды земельного участка, а в случае, если аукцион проводится в целях предоставления земельного участка в аренду для комплексного освоения территории,  также проекта договора о комплексном ос</w:t>
      </w:r>
      <w:r>
        <w:rPr>
          <w:sz w:val="28"/>
        </w:rPr>
        <w:t>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изменены.»;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пункт 3.1.5.7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«3.1.5.7 Если договор купли-прод</w:t>
      </w:r>
      <w:r>
        <w:rPr>
          <w:sz w:val="28"/>
        </w:rPr>
        <w:t xml:space="preserve">ажи или договор аренды земельного участка, а в случае, предусмотренном пунктом 3.1.5.6  настоящего административного  регламента, также договор о комплексном освоении территории в течение десяти рабочих дней со дня направления победителю аукциона проектов </w:t>
      </w:r>
      <w:r>
        <w:rPr>
          <w:sz w:val="28"/>
        </w:rPr>
        <w:t>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аукциона, для их заключения по цене, предло</w:t>
      </w:r>
      <w:r>
        <w:rPr>
          <w:sz w:val="28"/>
        </w:rPr>
        <w:t>женной таким участником аукциона.";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пункт 3.1.5.8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«3.1.5.8.  В случае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</w:t>
      </w:r>
      <w:r>
        <w:rPr>
          <w:sz w:val="28"/>
        </w:rPr>
        <w:t xml:space="preserve">ра купли-продажи или </w:t>
      </w:r>
      <w:r>
        <w:rPr>
          <w:sz w:val="28"/>
        </w:rPr>
        <w:lastRenderedPageBreak/>
        <w:t xml:space="preserve">проекта договора аренды земельного участка, а в случае, предусмотренном пунктом 3.1.5.6  настоящего регламента, также проекта договора о комплексном освоении территории этот участник не представил в Уполномоченный орган подписанные им </w:t>
      </w:r>
      <w:r>
        <w:rPr>
          <w:sz w:val="28"/>
        </w:rPr>
        <w:t xml:space="preserve">договоры, уполномоченный орган вправе объявить о проведении повторного аукциона или распорядиться земельным участком иным образом в соответствии с Земельным </w:t>
      </w:r>
      <w:hyperlink r:id="rId9" w:history="1">
        <w:r>
          <w:rPr>
            <w:sz w:val="28"/>
          </w:rPr>
          <w:t>кодексом</w:t>
        </w:r>
      </w:hyperlink>
      <w:r>
        <w:rPr>
          <w:sz w:val="28"/>
        </w:rPr>
        <w:t xml:space="preserve"> Российской Федерации.»;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пункт 3.1.5.9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«3.1.5.9. В случае, если победитель аукциона или иное лицо, с которым договор купли-продажи или договор аренды земельного участка заключае</w:t>
      </w:r>
      <w:r>
        <w:rPr>
          <w:sz w:val="28"/>
        </w:rPr>
        <w:t xml:space="preserve">тся в соответствии с </w:t>
      </w:r>
      <w:hyperlink r:id="rId10" w:history="1">
        <w:r>
          <w:rPr>
            <w:sz w:val="28"/>
          </w:rPr>
          <w:t xml:space="preserve">пунктом </w:t>
        </w:r>
      </w:hyperlink>
      <w:r>
        <w:rPr>
          <w:sz w:val="28"/>
        </w:rPr>
        <w:t xml:space="preserve"> </w:t>
      </w:r>
      <w:hyperlink r:id="rId11" w:history="1">
        <w:r>
          <w:rPr>
            <w:sz w:val="28"/>
          </w:rPr>
          <w:t>14</w:t>
        </w:r>
      </w:hyperlink>
      <w:r>
        <w:rPr>
          <w:sz w:val="28"/>
        </w:rPr>
        <w:t xml:space="preserve">, 20 или </w:t>
      </w:r>
      <w:hyperlink r:id="rId12" w:history="1">
        <w:r>
          <w:rPr>
            <w:sz w:val="28"/>
          </w:rPr>
          <w:t>25</w:t>
        </w:r>
      </w:hyperlink>
      <w:r>
        <w:rPr>
          <w:sz w:val="28"/>
        </w:rPr>
        <w:t xml:space="preserve"> статьи 39.12 Земельного кодекса Российской Федерации,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</w:t>
      </w:r>
      <w:r>
        <w:rPr>
          <w:sz w:val="28"/>
        </w:rPr>
        <w:t xml:space="preserve">говоры, уполномоченный орган в течение пяти рабочих дней со дня истечения этого срока направляет сведения, предусмотренные </w:t>
      </w:r>
      <w:hyperlink r:id="rId13" w:history="1">
        <w:r>
          <w:rPr>
            <w:sz w:val="28"/>
          </w:rPr>
          <w:t>подпунктами 1</w:t>
        </w:r>
      </w:hyperlink>
      <w:r>
        <w:rPr>
          <w:sz w:val="28"/>
        </w:rPr>
        <w:t xml:space="preserve"> - </w:t>
      </w:r>
      <w:hyperlink r:id="rId14" w:history="1">
        <w:r>
          <w:rPr>
            <w:sz w:val="28"/>
          </w:rPr>
          <w:t>3 пункта 29</w:t>
        </w:r>
      </w:hyperlink>
      <w:r>
        <w:rPr>
          <w:sz w:val="28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 Включение сведений о не</w:t>
      </w:r>
      <w:r>
        <w:rPr>
          <w:sz w:val="28"/>
        </w:rPr>
        <w:t>добросовестных участниках аукциона в реестр осуществляется с учетом требований законодательства Российской Федерации о государственной тайне.»;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в пункте 3.1.5.11 второй абзац изложить в следующей редакции: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«Максимальный срок подписания договоров купли - пр</w:t>
      </w:r>
      <w:r>
        <w:rPr>
          <w:sz w:val="28"/>
        </w:rPr>
        <w:t>одажи или аренды земельного участка не может превышать 10 рабочих дней со дня направления победителю аукциона указанных договоров для подписания и представления в уполномоченный орган.».</w:t>
      </w:r>
    </w:p>
    <w:p w:rsidR="00692173" w:rsidRDefault="00A71EC4">
      <w:pPr>
        <w:ind w:firstLine="709"/>
        <w:jc w:val="both"/>
        <w:rPr>
          <w:sz w:val="28"/>
        </w:rPr>
      </w:pPr>
      <w:r>
        <w:rPr>
          <w:sz w:val="28"/>
        </w:rPr>
        <w:t>2. Опубликовать постановление в бюллетене «Валдайский Вестник» и разм</w:t>
      </w:r>
      <w:r>
        <w:rPr>
          <w:sz w:val="28"/>
        </w:rPr>
        <w:t>естить на официальном сайте Администрации Валдайского муниципального района в сети «Интернет».</w:t>
      </w:r>
    </w:p>
    <w:p w:rsidR="00692173" w:rsidRDefault="00692173">
      <w:pPr>
        <w:ind w:firstLine="709"/>
        <w:jc w:val="both"/>
        <w:rPr>
          <w:sz w:val="28"/>
        </w:rPr>
      </w:pPr>
    </w:p>
    <w:p w:rsidR="00692173" w:rsidRDefault="00692173">
      <w:pPr>
        <w:ind w:firstLine="709"/>
        <w:jc w:val="both"/>
        <w:rPr>
          <w:sz w:val="28"/>
        </w:rPr>
      </w:pPr>
    </w:p>
    <w:p w:rsidR="00692173" w:rsidRDefault="00A71EC4">
      <w:pPr>
        <w:jc w:val="both"/>
        <w:rPr>
          <w:b/>
          <w:sz w:val="28"/>
        </w:rPr>
      </w:pPr>
      <w:r>
        <w:rPr>
          <w:b/>
          <w:sz w:val="28"/>
        </w:rPr>
        <w:t>Заместитель Главы</w:t>
      </w:r>
    </w:p>
    <w:p w:rsidR="00692173" w:rsidRDefault="00A71EC4">
      <w:pPr>
        <w:jc w:val="both"/>
        <w:rPr>
          <w:b/>
          <w:sz w:val="28"/>
        </w:rPr>
      </w:pPr>
      <w:r>
        <w:rPr>
          <w:b/>
          <w:sz w:val="28"/>
        </w:rPr>
        <w:t>администрации</w:t>
      </w:r>
    </w:p>
    <w:p w:rsidR="00692173" w:rsidRDefault="00A71EC4">
      <w:pPr>
        <w:jc w:val="both"/>
        <w:rPr>
          <w:sz w:val="28"/>
        </w:rPr>
      </w:pPr>
      <w:r>
        <w:rPr>
          <w:b/>
          <w:sz w:val="28"/>
        </w:rPr>
        <w:t>муниципального района</w:t>
      </w:r>
      <w:r>
        <w:rPr>
          <w:b/>
          <w:sz w:val="28"/>
        </w:rPr>
        <w:tab/>
      </w:r>
      <w:r>
        <w:rPr>
          <w:b/>
          <w:sz w:val="28"/>
        </w:rPr>
        <w:tab/>
        <w:t>Р.С. Ершов</w:t>
      </w:r>
    </w:p>
    <w:p w:rsidR="00692173" w:rsidRDefault="00692173">
      <w:pPr>
        <w:jc w:val="both"/>
        <w:rPr>
          <w:sz w:val="28"/>
        </w:rPr>
      </w:pPr>
    </w:p>
    <w:sectPr w:rsidR="00692173">
      <w:headerReference w:type="default" r:id="rId15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EC4" w:rsidRDefault="00A71EC4">
      <w:r>
        <w:separator/>
      </w:r>
    </w:p>
  </w:endnote>
  <w:endnote w:type="continuationSeparator" w:id="0">
    <w:p w:rsidR="00A71EC4" w:rsidRDefault="00A7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EC4" w:rsidRDefault="00A71EC4">
      <w:r>
        <w:separator/>
      </w:r>
    </w:p>
  </w:footnote>
  <w:footnote w:type="continuationSeparator" w:id="0">
    <w:p w:rsidR="00A71EC4" w:rsidRDefault="00A71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73" w:rsidRDefault="00A71EC4">
    <w:pPr>
      <w:framePr w:wrap="around" w:vAnchor="text" w:hAnchor="margin" w:xAlign="center" w:y="1"/>
    </w:pPr>
    <w:r>
      <w:fldChar w:fldCharType="begin"/>
    </w:r>
    <w:r>
      <w:instrText xml:space="preserve">PAGE </w:instrText>
    </w:r>
    <w:r w:rsidR="007C6E16">
      <w:fldChar w:fldCharType="separate"/>
    </w:r>
    <w:r w:rsidR="00F534E2">
      <w:rPr>
        <w:noProof/>
      </w:rPr>
      <w:t>2</w:t>
    </w:r>
    <w:r>
      <w:fldChar w:fldCharType="end"/>
    </w:r>
  </w:p>
  <w:p w:rsidR="00692173" w:rsidRDefault="00692173">
    <w:pPr>
      <w:pStyle w:val="af7"/>
      <w:jc w:val="center"/>
    </w:pPr>
  </w:p>
  <w:p w:rsidR="00692173" w:rsidRDefault="00692173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173"/>
    <w:rsid w:val="00692173"/>
    <w:rsid w:val="007C6E16"/>
    <w:rsid w:val="00A71EC4"/>
    <w:rsid w:val="00F5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E51E980-6C74-4E25-8484-832AC2A8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a5">
    <w:name w:val="Document Map"/>
    <w:basedOn w:val="a"/>
    <w:link w:val="a6"/>
    <w:rPr>
      <w:rFonts w:ascii="Tahoma" w:hAnsi="Tahoma"/>
    </w:rPr>
  </w:style>
  <w:style w:type="character" w:customStyle="1" w:styleId="a6">
    <w:name w:val="Схема документа Знак"/>
    <w:basedOn w:val="1"/>
    <w:link w:val="a5"/>
    <w:rPr>
      <w:rFonts w:ascii="Tahoma" w:hAnsi="Tahoma"/>
    </w:rPr>
  </w:style>
  <w:style w:type="character" w:customStyle="1" w:styleId="70">
    <w:name w:val="Заголовок 7 Знак"/>
    <w:basedOn w:val="1"/>
    <w:link w:val="7"/>
    <w:rPr>
      <w:rFonts w:ascii="Calibri" w:hAnsi="Calibri"/>
      <w:sz w:val="24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a9">
    <w:name w:val="List"/>
    <w:basedOn w:val="a"/>
    <w:link w:val="aa"/>
    <w:pPr>
      <w:ind w:left="283" w:hanging="283"/>
    </w:pPr>
    <w:rPr>
      <w:sz w:val="24"/>
    </w:rPr>
  </w:style>
  <w:style w:type="character" w:customStyle="1" w:styleId="aa">
    <w:name w:val="Список Знак"/>
    <w:basedOn w:val="1"/>
    <w:link w:val="a9"/>
    <w:rPr>
      <w:sz w:val="24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4"/>
    </w:rPr>
  </w:style>
  <w:style w:type="character" w:customStyle="1" w:styleId="ConsPlusCell0">
    <w:name w:val="ConsPlusCell"/>
    <w:link w:val="ConsPlusCell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basedOn w:val="1"/>
    <w:link w:val="3"/>
    <w:rPr>
      <w:color w:val="000000"/>
      <w:sz w:val="32"/>
    </w:rPr>
  </w:style>
  <w:style w:type="paragraph" w:customStyle="1" w:styleId="12">
    <w:name w:val="Абзац списка1"/>
    <w:basedOn w:val="a"/>
    <w:link w:val="13"/>
    <w:pPr>
      <w:ind w:left="708"/>
    </w:pPr>
    <w:rPr>
      <w:sz w:val="24"/>
    </w:rPr>
  </w:style>
  <w:style w:type="character" w:customStyle="1" w:styleId="13">
    <w:name w:val="Абзац списка1"/>
    <w:basedOn w:val="1"/>
    <w:link w:val="12"/>
    <w:rPr>
      <w:color w:val="000000"/>
      <w:sz w:val="24"/>
    </w:rPr>
  </w:style>
  <w:style w:type="paragraph" w:customStyle="1" w:styleId="14">
    <w:name w:val="Основной шрифт абзаца1"/>
    <w:link w:val="ab"/>
  </w:style>
  <w:style w:type="paragraph" w:styleId="ab">
    <w:name w:val="Body Text Indent"/>
    <w:basedOn w:val="a"/>
    <w:link w:val="ac"/>
    <w:pPr>
      <w:ind w:firstLine="720"/>
    </w:pPr>
    <w:rPr>
      <w:rFonts w:ascii="Bookman Old Style" w:hAnsi="Bookman Old Style"/>
      <w:sz w:val="24"/>
    </w:rPr>
  </w:style>
  <w:style w:type="character" w:customStyle="1" w:styleId="ac">
    <w:name w:val="Основной текст с отступом Знак"/>
    <w:basedOn w:val="1"/>
    <w:link w:val="ab"/>
    <w:rPr>
      <w:rFonts w:ascii="Bookman Old Style" w:hAnsi="Bookman Old Style"/>
      <w:sz w:val="24"/>
    </w:rPr>
  </w:style>
  <w:style w:type="paragraph" w:styleId="31">
    <w:name w:val="Body Text Indent 3"/>
    <w:basedOn w:val="a"/>
    <w:link w:val="32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Pr>
      <w:sz w:val="16"/>
    </w:rPr>
  </w:style>
  <w:style w:type="paragraph" w:customStyle="1" w:styleId="s16">
    <w:name w:val="s_16"/>
    <w:basedOn w:val="a"/>
    <w:link w:val="s160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Pr>
      <w:sz w:val="24"/>
    </w:rPr>
  </w:style>
  <w:style w:type="paragraph" w:customStyle="1" w:styleId="210">
    <w:name w:val="Основной текст с отступом 21"/>
    <w:basedOn w:val="a"/>
    <w:link w:val="211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Pr>
      <w:b/>
      <w:sz w:val="40"/>
    </w:rPr>
  </w:style>
  <w:style w:type="paragraph" w:styleId="23">
    <w:name w:val="Body Text First Indent 2"/>
    <w:basedOn w:val="ab"/>
    <w:link w:val="24"/>
    <w:pPr>
      <w:spacing w:after="120"/>
      <w:ind w:left="283" w:firstLine="210"/>
    </w:pPr>
    <w:rPr>
      <w:rFonts w:ascii="Times New Roman" w:hAnsi="Times New Roman"/>
    </w:rPr>
  </w:style>
  <w:style w:type="character" w:customStyle="1" w:styleId="24">
    <w:name w:val="Красная строка 2 Знак"/>
    <w:basedOn w:val="ac"/>
    <w:link w:val="23"/>
    <w:rPr>
      <w:rFonts w:ascii="Times New Roman" w:hAnsi="Times New Roman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ad">
    <w:name w:val="Îáû÷íûé"/>
    <w:link w:val="ae"/>
    <w:pPr>
      <w:widowControl w:val="0"/>
    </w:pPr>
  </w:style>
  <w:style w:type="character" w:customStyle="1" w:styleId="ae">
    <w:name w:val="Îáû÷íûé"/>
    <w:link w:val="ad"/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af">
    <w:name w:val="Центр"/>
    <w:basedOn w:val="a"/>
    <w:link w:val="af0"/>
    <w:pPr>
      <w:jc w:val="center"/>
    </w:pPr>
    <w:rPr>
      <w:sz w:val="28"/>
    </w:rPr>
  </w:style>
  <w:style w:type="character" w:customStyle="1" w:styleId="af0">
    <w:name w:val="Центр"/>
    <w:basedOn w:val="1"/>
    <w:link w:val="af"/>
    <w:rPr>
      <w:sz w:val="28"/>
    </w:rPr>
  </w:style>
  <w:style w:type="paragraph" w:styleId="35">
    <w:name w:val="Body Text 3"/>
    <w:basedOn w:val="a"/>
    <w:link w:val="36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Pr>
      <w:sz w:val="16"/>
    </w:rPr>
  </w:style>
  <w:style w:type="paragraph" w:styleId="af1">
    <w:name w:val="Balloon Text"/>
    <w:basedOn w:val="a"/>
    <w:link w:val="af2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Pr>
      <w:rFonts w:ascii="Tahoma" w:hAnsi="Tahoma"/>
      <w:sz w:val="16"/>
    </w:rPr>
  </w:style>
  <w:style w:type="paragraph" w:styleId="af3">
    <w:name w:val="Body Text First Indent"/>
    <w:basedOn w:val="af4"/>
    <w:link w:val="af5"/>
    <w:pPr>
      <w:spacing w:after="120"/>
      <w:ind w:firstLine="210"/>
      <w:jc w:val="left"/>
    </w:pPr>
    <w:rPr>
      <w:sz w:val="24"/>
    </w:rPr>
  </w:style>
  <w:style w:type="character" w:customStyle="1" w:styleId="af5">
    <w:name w:val="Красная строка Знак"/>
    <w:basedOn w:val="af6"/>
    <w:link w:val="af3"/>
    <w:rPr>
      <w:color w:val="000000"/>
      <w:sz w:val="24"/>
    </w:rPr>
  </w:style>
  <w:style w:type="paragraph" w:styleId="af7">
    <w:name w:val="header"/>
    <w:basedOn w:val="a"/>
    <w:link w:val="af8"/>
    <w:pPr>
      <w:tabs>
        <w:tab w:val="center" w:pos="4153"/>
        <w:tab w:val="right" w:pos="8306"/>
      </w:tabs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50">
    <w:name w:val="Заголовок 5 Знак"/>
    <w:basedOn w:val="1"/>
    <w:link w:val="5"/>
    <w:rPr>
      <w:b/>
      <w:color w:val="000000"/>
      <w:sz w:val="28"/>
    </w:rPr>
  </w:style>
  <w:style w:type="paragraph" w:customStyle="1" w:styleId="FontStyle13">
    <w:name w:val="Font Style13"/>
    <w:link w:val="FontStyle130"/>
    <w:rPr>
      <w:sz w:val="22"/>
    </w:rPr>
  </w:style>
  <w:style w:type="character" w:customStyle="1" w:styleId="FontStyle130">
    <w:name w:val="Font Style13"/>
    <w:link w:val="FontStyle13"/>
    <w:rPr>
      <w:rFonts w:ascii="Times New Roman" w:hAnsi="Times New Roman"/>
      <w:sz w:val="22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sz w:val="28"/>
    </w:rPr>
  </w:style>
  <w:style w:type="paragraph" w:customStyle="1" w:styleId="85pt">
    <w:name w:val="Основной текст + 8.5 pt"/>
    <w:link w:val="85pt0"/>
    <w:rPr>
      <w:b/>
      <w:sz w:val="17"/>
    </w:rPr>
  </w:style>
  <w:style w:type="character" w:customStyle="1" w:styleId="85pt0">
    <w:name w:val="Основной текст + 8.5 pt"/>
    <w:link w:val="85pt"/>
    <w:rPr>
      <w:rFonts w:ascii="Times New Roman" w:hAnsi="Times New Roman"/>
      <w:b/>
      <w:sz w:val="17"/>
      <w:u w:val="none"/>
    </w:rPr>
  </w:style>
  <w:style w:type="paragraph" w:customStyle="1" w:styleId="15">
    <w:name w:val="Номер страницы1"/>
    <w:basedOn w:val="14"/>
    <w:link w:val="af9"/>
  </w:style>
  <w:style w:type="character" w:styleId="af9">
    <w:name w:val="page number"/>
    <w:basedOn w:val="a0"/>
    <w:link w:val="15"/>
  </w:style>
  <w:style w:type="paragraph" w:styleId="afa">
    <w:name w:val="Normal (Web)"/>
    <w:basedOn w:val="a"/>
    <w:link w:val="afb"/>
    <w:pPr>
      <w:spacing w:before="100" w:after="100"/>
    </w:pPr>
    <w:rPr>
      <w:sz w:val="24"/>
    </w:rPr>
  </w:style>
  <w:style w:type="character" w:customStyle="1" w:styleId="afb">
    <w:name w:val="Обычный (веб) Знак"/>
    <w:basedOn w:val="1"/>
    <w:link w:val="afa"/>
    <w:rPr>
      <w:sz w:val="24"/>
    </w:rPr>
  </w:style>
  <w:style w:type="paragraph" w:styleId="af4">
    <w:name w:val="Body Text"/>
    <w:basedOn w:val="a"/>
    <w:link w:val="af6"/>
    <w:pPr>
      <w:jc w:val="both"/>
    </w:pPr>
    <w:rPr>
      <w:sz w:val="28"/>
    </w:rPr>
  </w:style>
  <w:style w:type="character" w:customStyle="1" w:styleId="af6">
    <w:name w:val="Основной текст Знак"/>
    <w:basedOn w:val="1"/>
    <w:link w:val="af4"/>
    <w:rPr>
      <w:color w:val="000000"/>
      <w:sz w:val="28"/>
    </w:rPr>
  </w:style>
  <w:style w:type="paragraph" w:customStyle="1" w:styleId="16">
    <w:name w:val="Строгий1"/>
    <w:basedOn w:val="14"/>
    <w:link w:val="afc"/>
    <w:rPr>
      <w:b/>
    </w:rPr>
  </w:style>
  <w:style w:type="character" w:styleId="afc">
    <w:name w:val="Strong"/>
    <w:basedOn w:val="a0"/>
    <w:link w:val="16"/>
    <w:rPr>
      <w:b/>
    </w:rPr>
  </w:style>
  <w:style w:type="paragraph" w:customStyle="1" w:styleId="17">
    <w:name w:val="Гиперссылка1"/>
    <w:basedOn w:val="14"/>
    <w:link w:val="afd"/>
    <w:rPr>
      <w:color w:val="0000FF"/>
      <w:u w:val="single"/>
    </w:rPr>
  </w:style>
  <w:style w:type="character" w:styleId="afd">
    <w:name w:val="Hyperlink"/>
    <w:basedOn w:val="a0"/>
    <w:link w:val="17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Pr>
      <w:rFonts w:ascii="XO Thames" w:hAnsi="XO Thames"/>
      <w:b/>
    </w:rPr>
  </w:style>
  <w:style w:type="character" w:customStyle="1" w:styleId="19">
    <w:name w:val="Оглавление 1 Знак"/>
    <w:link w:val="18"/>
    <w:rPr>
      <w:rFonts w:ascii="XO Thames" w:hAnsi="XO Thames"/>
      <w:b/>
    </w:rPr>
  </w:style>
  <w:style w:type="paragraph" w:styleId="25">
    <w:name w:val="Body Text 2"/>
    <w:basedOn w:val="a"/>
    <w:link w:val="26"/>
    <w:pPr>
      <w:jc w:val="both"/>
    </w:pPr>
    <w:rPr>
      <w:rFonts w:ascii="Bookman Old Style" w:hAnsi="Bookman Old Style"/>
      <w:sz w:val="24"/>
    </w:rPr>
  </w:style>
  <w:style w:type="character" w:customStyle="1" w:styleId="26">
    <w:name w:val="Основной текст 2 Знак"/>
    <w:basedOn w:val="1"/>
    <w:link w:val="25"/>
    <w:rPr>
      <w:rFonts w:ascii="Bookman Old Style" w:hAnsi="Bookman Old Style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228bf8a64b8551e1msonormal">
    <w:name w:val="228bf8a64b8551e1msonormal"/>
    <w:basedOn w:val="a"/>
    <w:link w:val="228bf8a64b8551e1msonormal0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Pr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fe">
    <w:name w:val="footer"/>
    <w:basedOn w:val="a"/>
    <w:link w:val="aff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</w:style>
  <w:style w:type="paragraph" w:styleId="27">
    <w:name w:val="List 2"/>
    <w:basedOn w:val="a"/>
    <w:link w:val="28"/>
    <w:pPr>
      <w:ind w:left="566" w:hanging="283"/>
    </w:pPr>
    <w:rPr>
      <w:sz w:val="24"/>
    </w:rPr>
  </w:style>
  <w:style w:type="character" w:customStyle="1" w:styleId="28">
    <w:name w:val="Список 2 Знак"/>
    <w:basedOn w:val="1"/>
    <w:link w:val="27"/>
    <w:rPr>
      <w:sz w:val="24"/>
    </w:rPr>
  </w:style>
  <w:style w:type="paragraph" w:customStyle="1" w:styleId="Default">
    <w:name w:val="Default"/>
    <w:link w:val="Default0"/>
    <w:rPr>
      <w:rFonts w:ascii="Arial" w:hAnsi="Arial"/>
      <w:sz w:val="24"/>
    </w:rPr>
  </w:style>
  <w:style w:type="character" w:customStyle="1" w:styleId="Default0">
    <w:name w:val="Default"/>
    <w:link w:val="Default"/>
    <w:rPr>
      <w:rFonts w:ascii="Arial" w:hAnsi="Arial"/>
      <w:color w:val="000000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</w:rPr>
  </w:style>
  <w:style w:type="paragraph" w:customStyle="1" w:styleId="Style2">
    <w:name w:val="Style2"/>
    <w:basedOn w:val="a"/>
    <w:link w:val="Style20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Pr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Style3">
    <w:name w:val="Style3"/>
    <w:basedOn w:val="a"/>
    <w:link w:val="Style30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Pr>
      <w:sz w:val="24"/>
    </w:rPr>
  </w:style>
  <w:style w:type="paragraph" w:styleId="aff0">
    <w:name w:val="No Spacing"/>
    <w:link w:val="aff1"/>
    <w:rPr>
      <w:sz w:val="24"/>
    </w:rPr>
  </w:style>
  <w:style w:type="character" w:customStyle="1" w:styleId="aff1">
    <w:name w:val="Без интервала Знак"/>
    <w:link w:val="aff0"/>
    <w:rPr>
      <w:sz w:val="24"/>
    </w:rPr>
  </w:style>
  <w:style w:type="paragraph" w:styleId="aff2">
    <w:name w:val="Subtitle"/>
    <w:next w:val="a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4">
    <w:name w:val="Title"/>
    <w:basedOn w:val="a"/>
    <w:link w:val="aff5"/>
    <w:uiPriority w:val="10"/>
    <w:qFormat/>
    <w:pPr>
      <w:ind w:left="-567"/>
      <w:jc w:val="center"/>
    </w:pPr>
    <w:rPr>
      <w:sz w:val="28"/>
    </w:rPr>
  </w:style>
  <w:style w:type="character" w:customStyle="1" w:styleId="aff5">
    <w:name w:val="Название Знак"/>
    <w:basedOn w:val="1"/>
    <w:link w:val="aff4"/>
    <w:rPr>
      <w:sz w:val="28"/>
    </w:rPr>
  </w:style>
  <w:style w:type="paragraph" w:customStyle="1" w:styleId="aff6">
    <w:name w:val="Знак"/>
    <w:basedOn w:val="a"/>
    <w:link w:val="aff7"/>
    <w:pPr>
      <w:spacing w:beforeAutospacing="1" w:afterAutospacing="1"/>
    </w:pPr>
    <w:rPr>
      <w:rFonts w:ascii="Tahoma" w:hAnsi="Tahoma"/>
    </w:rPr>
  </w:style>
  <w:style w:type="character" w:customStyle="1" w:styleId="aff7">
    <w:name w:val="Знак"/>
    <w:basedOn w:val="1"/>
    <w:link w:val="aff6"/>
    <w:rPr>
      <w:rFonts w:ascii="Tahoma" w:hAnsi="Tahoma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character" w:customStyle="1" w:styleId="20">
    <w:name w:val="Заголовок 2 Знак"/>
    <w:basedOn w:val="1"/>
    <w:link w:val="2"/>
    <w:rPr>
      <w:b/>
      <w:sz w:val="44"/>
    </w:rPr>
  </w:style>
  <w:style w:type="character" w:customStyle="1" w:styleId="60">
    <w:name w:val="Заголовок 6 Знак"/>
    <w:basedOn w:val="1"/>
    <w:link w:val="6"/>
    <w:rPr>
      <w:b/>
      <w:color w:val="000000"/>
      <w:sz w:val="28"/>
    </w:r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01095C7B97628D1556F77D57B98041FAA28C42B5AD237404B46A20CC9E3195AFX4G" TargetMode="External"/><Relationship Id="rId13" Type="http://schemas.openxmlformats.org/officeDocument/2006/relationships/hyperlink" Target="https://login.consultant.ru/link/?req=doc&amp;base=LAW&amp;n=481376&amp;dst=7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201095C7B97628D1556E97041D5DF49FFAFD74CB1A0212150EB317D9B973BC2B351E10DC97F1DC1ADXBG" TargetMode="External"/><Relationship Id="rId12" Type="http://schemas.openxmlformats.org/officeDocument/2006/relationships/hyperlink" Target="https://login.consultant.ru/link/?req=doc&amp;base=LAW&amp;n=481376&amp;dst=702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login.consultant.ru/link/?req=doc&amp;base=LAW&amp;n=481376&amp;dst=690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81376&amp;dst=689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12E44CB08295DCA0320B0EAE6D04734A4E0A367441A0CA18F12084E1EF8D8EB23AB503F814EE71102C205CDCC717n1N" TargetMode="External"/><Relationship Id="rId14" Type="http://schemas.openxmlformats.org/officeDocument/2006/relationships/hyperlink" Target="https://login.consultant.ru/link/?req=doc&amp;base=LAW&amp;n=481376&amp;dst=7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</cp:revision>
  <cp:lastPrinted>2025-04-01T11:42:00Z</cp:lastPrinted>
  <dcterms:created xsi:type="dcterms:W3CDTF">2025-04-01T11:41:00Z</dcterms:created>
  <dcterms:modified xsi:type="dcterms:W3CDTF">2025-04-01T11:42:00Z</dcterms:modified>
</cp:coreProperties>
</file>