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438B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438B0" w:rsidRDefault="000438B0" w:rsidP="000438B0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0438B0" w:rsidRDefault="000438B0" w:rsidP="000438B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 «Предварительное </w:t>
      </w:r>
    </w:p>
    <w:p w:rsidR="000438B0" w:rsidRDefault="000438B0" w:rsidP="000438B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согласование предоставления земельного участка»</w:t>
      </w:r>
    </w:p>
    <w:p w:rsidR="000438B0" w:rsidRDefault="000438B0" w:rsidP="000438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38B0" w:rsidRDefault="000438B0" w:rsidP="000438B0">
      <w:pPr>
        <w:jc w:val="center"/>
        <w:rPr>
          <w:b/>
          <w:sz w:val="24"/>
          <w:szCs w:val="24"/>
        </w:rPr>
      </w:pPr>
    </w:p>
    <w:p w:rsidR="000438B0" w:rsidRDefault="000438B0" w:rsidP="000438B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0438B0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0438B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0438B0">
        <w:rPr>
          <w:sz w:val="28"/>
          <w:szCs w:val="28"/>
        </w:rPr>
        <w:t>с</w:t>
      </w:r>
      <w:r w:rsidRPr="000438B0">
        <w:rPr>
          <w:sz w:val="28"/>
          <w:szCs w:val="28"/>
        </w:rPr>
        <w:t xml:space="preserve">луг», </w:t>
      </w:r>
      <w:hyperlink r:id="rId8" w:history="1">
        <w:r w:rsidRPr="000438B0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0438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38B0" w:rsidRDefault="000438B0" w:rsidP="000438B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«Предварительное согласование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участка», утвержденный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16.12.2015 № 1958:</w:t>
      </w:r>
    </w:p>
    <w:p w:rsidR="000438B0" w:rsidRDefault="000438B0" w:rsidP="000438B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подпункте 1.3.1 пункта 1.3 цифры:</w:t>
      </w:r>
    </w:p>
    <w:p w:rsidR="000438B0" w:rsidRDefault="00221677" w:rsidP="000438B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2-25-16/46-305»;</w:t>
      </w:r>
    </w:p>
    <w:p w:rsidR="000438B0" w:rsidRDefault="000438B0" w:rsidP="000438B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«8(816-66) 2-13-05» на «8(816-66) 46-318»;</w:t>
      </w:r>
    </w:p>
    <w:p w:rsidR="000438B0" w:rsidRDefault="000438B0" w:rsidP="000438B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подпунктах 2.6.3.1, 2.6.3.2, 2.6.3.3 пункта 2.6.3 слова:</w:t>
      </w:r>
    </w:p>
    <w:p w:rsidR="000438B0" w:rsidRDefault="000438B0" w:rsidP="000438B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«…ЕГРП…» на «…ЕГРН…»;</w:t>
      </w:r>
    </w:p>
    <w:p w:rsidR="000438B0" w:rsidRDefault="000438B0" w:rsidP="000438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«…кадастровая выписка (паспорт) о земельном участке» на «…выписка из Единого государственного реестра недвижимости об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характеристиках и зарегистрированных правах на объект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сти»;</w:t>
      </w:r>
    </w:p>
    <w:p w:rsidR="000438B0" w:rsidRDefault="000438B0" w:rsidP="0004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подпункт 2.7.1 пункта 2.7 в редакции:</w:t>
      </w:r>
    </w:p>
    <w:p w:rsidR="000438B0" w:rsidRDefault="000438B0" w:rsidP="000438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«2.7.1. В случае если </w:t>
      </w:r>
      <w:r>
        <w:rPr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t>не представлена самостоятельно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писка из Единого государственного реестра недвижимости об основных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рактеристиках и зарегистрированных правах на объект недвижимости, то по каналам межведомственного взаимодействия специалист Уполномоченного органа запрашивает её в Валдайском отделе управления Федеральной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государственной регистрации, кадастра и картографии, по Новгородской области (управление Росреестра по Новгородской области) (приложение 1 к административному регламенту).»;</w:t>
      </w:r>
    </w:p>
    <w:p w:rsidR="000438B0" w:rsidRDefault="000438B0" w:rsidP="000438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Заменить в подпунктах 2.7.3, 2.7.4 пункта 2.7 слова «…ЕГРП…» на «…ЕГРН…»;</w:t>
      </w:r>
    </w:p>
    <w:p w:rsidR="000438B0" w:rsidRDefault="000438B0" w:rsidP="000438B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приложение 3 в редакции:</w:t>
      </w:r>
    </w:p>
    <w:p w:rsidR="000438B0" w:rsidRDefault="000438B0" w:rsidP="000438B0">
      <w:pPr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 3</w:t>
      </w:r>
    </w:p>
    <w:p w:rsidR="000438B0" w:rsidRDefault="000438B0" w:rsidP="000438B0">
      <w:pPr>
        <w:autoSpaceDE w:val="0"/>
        <w:autoSpaceDN w:val="0"/>
        <w:adjustRightInd w:val="0"/>
        <w:ind w:left="450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к административному регламенту по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тавлению муниципальной услуги «Предвар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тельное согласование предоставления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участка»</w:t>
      </w:r>
    </w:p>
    <w:p w:rsidR="000438B0" w:rsidRDefault="000438B0" w:rsidP="000438B0">
      <w:pPr>
        <w:tabs>
          <w:tab w:val="left" w:pos="8460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0438B0" w:rsidTr="000438B0">
        <w:tc>
          <w:tcPr>
            <w:tcW w:w="4361" w:type="dxa"/>
          </w:tcPr>
          <w:p w:rsidR="000438B0" w:rsidRDefault="000438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0438B0" w:rsidRDefault="000438B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0438B0" w:rsidRDefault="000438B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Главе ________________</w:t>
            </w:r>
          </w:p>
          <w:p w:rsidR="000438B0" w:rsidRDefault="000438B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438B0" w:rsidRDefault="000438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0438B0" w:rsidRDefault="000438B0" w:rsidP="000438B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лица/) (далее - заявитель)</w:t>
      </w:r>
    </w:p>
    <w:p w:rsidR="000438B0" w:rsidRDefault="000438B0" w:rsidP="000438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(кем выдан)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жительство заявителя: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38B0" w:rsidRDefault="000438B0" w:rsidP="000438B0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предварительно согласовать предоставление земельного участка </w:t>
      </w:r>
      <w:r>
        <w:rPr>
          <w:rFonts w:ascii="Times New Roman" w:hAnsi="Times New Roman" w:cs="Times New Roman"/>
          <w:sz w:val="24"/>
          <w:szCs w:val="24"/>
        </w:rPr>
        <w:t>на основании пункта _________статьи ___________ ЗК РФ для ___________________________________ _____________________________________________________________________________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(кадастровый квартал) земельного участка 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из которого образуется испрашиваемый земел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участок ____________________________________________________________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Заявитель: ______________________________       __________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(Ф.И.О., наименование организации)                   (печать, подпись)</w:t>
      </w:r>
    </w:p>
    <w:p w:rsidR="000438B0" w:rsidRDefault="000438B0" w:rsidP="000438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8B0" w:rsidRDefault="000438B0" w:rsidP="000438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tbl>
      <w:tblPr>
        <w:tblW w:w="9498" w:type="dxa"/>
        <w:tblInd w:w="108" w:type="dxa"/>
        <w:tblLayout w:type="fixed"/>
        <w:tblLook w:val="04A0"/>
      </w:tblPr>
      <w:tblGrid>
        <w:gridCol w:w="962"/>
        <w:gridCol w:w="5459"/>
        <w:gridCol w:w="1505"/>
        <w:gridCol w:w="1572"/>
      </w:tblGrid>
      <w:tr w:rsidR="000438B0" w:rsidTr="000438B0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438B0" w:rsidRDefault="000438B0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438B0" w:rsidRDefault="000438B0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0438B0" w:rsidRDefault="000438B0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ли</w:t>
            </w:r>
            <w:r>
              <w:t>с</w:t>
            </w:r>
            <w:r>
              <w:t>тов</w:t>
            </w:r>
          </w:p>
          <w:p w:rsidR="000438B0" w:rsidRDefault="000438B0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438B0" w:rsidTr="000438B0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8B0" w:rsidRDefault="000438B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0438B0" w:rsidRDefault="000438B0" w:rsidP="000438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</w:t>
      </w:r>
      <w:r w:rsidRPr="000438B0">
        <w:rPr>
          <w:rFonts w:ascii="Times New Roman" w:hAnsi="Times New Roman" w:cs="Times New Roman"/>
          <w:sz w:val="24"/>
          <w:szCs w:val="24"/>
        </w:rPr>
        <w:t xml:space="preserve">Уголовным   </w:t>
      </w:r>
      <w:hyperlink r:id="rId9" w:history="1">
        <w:r w:rsidRPr="000438B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0438B0" w:rsidRDefault="000438B0" w:rsidP="000438B0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адрес места жительства, не возражаю против обработки Уполномоченным органом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0438B0" w:rsidRDefault="000438B0" w:rsidP="000438B0">
      <w:pPr>
        <w:ind w:firstLine="540"/>
        <w:jc w:val="both"/>
      </w:pPr>
    </w:p>
    <w:p w:rsidR="000438B0" w:rsidRDefault="000438B0" w:rsidP="000438B0">
      <w:pPr>
        <w:ind w:left="-181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рассмотрения заявления (нужное отметить):</w:t>
      </w:r>
    </w:p>
    <w:p w:rsidR="000438B0" w:rsidRDefault="000438B0" w:rsidP="000438B0">
      <w:pPr>
        <w:ind w:left="-181"/>
        <w:jc w:val="both"/>
        <w:rPr>
          <w:sz w:val="22"/>
          <w:szCs w:val="22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3" type="#_x0000_t109" style="position:absolute;left:0;text-align:left;margin-left:-25.75pt;margin-top:7.25pt;width:54pt;height:18pt;z-index:251657216"/>
        </w:pict>
      </w:r>
    </w:p>
    <w:p w:rsidR="000438B0" w:rsidRDefault="000438B0" w:rsidP="000438B0">
      <w:pPr>
        <w:ind w:left="-181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>
        <w:t>прошу направить по почтовому адресу: ____________________________________</w:t>
      </w:r>
    </w:p>
    <w:p w:rsidR="000438B0" w:rsidRDefault="000438B0" w:rsidP="000438B0">
      <w:pPr>
        <w:ind w:left="-181" w:firstLine="709"/>
        <w:jc w:val="both"/>
      </w:pPr>
      <w:r>
        <w:t>_______________________________________________________________________</w:t>
      </w:r>
    </w:p>
    <w:p w:rsidR="000438B0" w:rsidRDefault="000438B0" w:rsidP="000438B0">
      <w:pPr>
        <w:ind w:left="-181" w:firstLine="709"/>
        <w:jc w:val="both"/>
      </w:pPr>
      <w:r>
        <w:pict>
          <v:rect id="_x0000_s1084" style="position:absolute;left:0;text-align:left;margin-left:-36pt;margin-top:10.85pt;width:54pt;height:18pt;z-index:251658240"/>
        </w:pict>
      </w:r>
    </w:p>
    <w:p w:rsidR="000438B0" w:rsidRDefault="000438B0" w:rsidP="000438B0">
      <w:pPr>
        <w:ind w:left="-181" w:firstLine="709"/>
        <w:jc w:val="both"/>
      </w:pPr>
      <w:r>
        <w:t>-прошу направить по адресу электронной почты: _____________________________</w:t>
      </w:r>
    </w:p>
    <w:p w:rsidR="000438B0" w:rsidRDefault="000438B0" w:rsidP="000438B0">
      <w:pPr>
        <w:ind w:left="-181" w:firstLine="709"/>
        <w:jc w:val="both"/>
      </w:pPr>
      <w:r>
        <w:pict>
          <v:rect id="_x0000_s1085" style="position:absolute;left:0;text-align:left;margin-left:-36pt;margin-top:.65pt;width:54pt;height:18pt;z-index:251659264"/>
        </w:pict>
      </w:r>
      <w:r>
        <w:t>-получу лично.</w:t>
      </w:r>
    </w:p>
    <w:p w:rsidR="000438B0" w:rsidRDefault="000438B0" w:rsidP="000438B0">
      <w:pPr>
        <w:rPr>
          <w:b/>
          <w:sz w:val="28"/>
          <w:szCs w:val="28"/>
        </w:rPr>
      </w:pPr>
    </w:p>
    <w:p w:rsidR="000438B0" w:rsidRDefault="000438B0" w:rsidP="000438B0">
      <w:pPr>
        <w:ind w:firstLine="540"/>
        <w:jc w:val="both"/>
      </w:pPr>
    </w:p>
    <w:p w:rsidR="000438B0" w:rsidRDefault="000438B0" w:rsidP="000438B0">
      <w:pPr>
        <w:ind w:firstLine="540"/>
        <w:jc w:val="both"/>
      </w:pPr>
    </w:p>
    <w:p w:rsidR="000438B0" w:rsidRDefault="000438B0" w:rsidP="000438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(Ф.И.О.)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438B0" w:rsidRDefault="000438B0" w:rsidP="000438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438B0" w:rsidRDefault="000438B0" w:rsidP="0004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Разместить постановление на официальном сайте Администрации Валдайского муниципального района в сети «Интернет». </w:t>
      </w:r>
    </w:p>
    <w:p w:rsidR="00E01984" w:rsidRDefault="00E01984" w:rsidP="00D938BB">
      <w:pPr>
        <w:tabs>
          <w:tab w:val="left" w:pos="3560"/>
        </w:tabs>
        <w:jc w:val="center"/>
        <w:rPr>
          <w:b/>
          <w:sz w:val="28"/>
          <w:szCs w:val="28"/>
        </w:rPr>
      </w:pPr>
    </w:p>
    <w:p w:rsidR="000438B0" w:rsidRPr="00E01984" w:rsidRDefault="000438B0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CB" w:rsidRDefault="00402ACB">
      <w:r>
        <w:separator/>
      </w:r>
    </w:p>
  </w:endnote>
  <w:endnote w:type="continuationSeparator" w:id="0">
    <w:p w:rsidR="00402ACB" w:rsidRDefault="0040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CB" w:rsidRDefault="00402ACB">
      <w:r>
        <w:separator/>
      </w:r>
    </w:p>
  </w:footnote>
  <w:footnote w:type="continuationSeparator" w:id="0">
    <w:p w:rsidR="00402ACB" w:rsidRDefault="00402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B0" w:rsidRDefault="000438B0">
    <w:pPr>
      <w:pStyle w:val="a3"/>
      <w:jc w:val="center"/>
    </w:pPr>
    <w:fldSimple w:instr=" PAGE   \* MERGEFORMAT ">
      <w:r w:rsidR="006718CD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38B0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77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2ACB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668A3"/>
    <w:rsid w:val="0067032F"/>
    <w:rsid w:val="0067121E"/>
    <w:rsid w:val="006718CD"/>
    <w:rsid w:val="006718EA"/>
    <w:rsid w:val="006744E1"/>
    <w:rsid w:val="00674518"/>
    <w:rsid w:val="00675832"/>
    <w:rsid w:val="00677AA1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43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8048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2018-01-24T05:21:00Z</cp:lastPrinted>
  <dcterms:created xsi:type="dcterms:W3CDTF">2018-01-25T08:18:00Z</dcterms:created>
  <dcterms:modified xsi:type="dcterms:W3CDTF">2018-01-25T08:18:00Z</dcterms:modified>
</cp:coreProperties>
</file>