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D690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92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D6900" w:rsidRDefault="00FD6900" w:rsidP="00FD6900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FD6900" w:rsidRDefault="00FD6900" w:rsidP="00FD69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sz w:val="28"/>
          <w:szCs w:val="28"/>
          <w:lang w:eastAsia="en-US"/>
        </w:rPr>
        <w:t>Предоставление</w:t>
      </w:r>
    </w:p>
    <w:p w:rsidR="00FD6900" w:rsidRDefault="00FD6900" w:rsidP="00FD690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земельного участка, находящегося в муниципальной </w:t>
      </w:r>
    </w:p>
    <w:p w:rsidR="00FD6900" w:rsidRDefault="00FD6900" w:rsidP="00FD690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собственности, в аренду без проведения торгов</w:t>
      </w:r>
      <w:r>
        <w:rPr>
          <w:b/>
          <w:sz w:val="28"/>
          <w:szCs w:val="28"/>
        </w:rPr>
        <w:t>»</w:t>
      </w:r>
    </w:p>
    <w:p w:rsidR="00FD6900" w:rsidRPr="00FD6900" w:rsidRDefault="00FD6900" w:rsidP="00FD6900">
      <w:pPr>
        <w:jc w:val="center"/>
        <w:rPr>
          <w:b/>
          <w:sz w:val="28"/>
          <w:szCs w:val="28"/>
        </w:rPr>
      </w:pPr>
    </w:p>
    <w:p w:rsidR="00FD6900" w:rsidRPr="00FD6900" w:rsidRDefault="00FD6900" w:rsidP="00FD6900">
      <w:pPr>
        <w:jc w:val="center"/>
        <w:rPr>
          <w:b/>
          <w:sz w:val="28"/>
          <w:szCs w:val="28"/>
        </w:rPr>
      </w:pPr>
    </w:p>
    <w:p w:rsidR="00FD6900" w:rsidRDefault="00FD6900" w:rsidP="00FD690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FD690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FD690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FD6900">
        <w:rPr>
          <w:sz w:val="28"/>
          <w:szCs w:val="28"/>
        </w:rPr>
        <w:t>с</w:t>
      </w:r>
      <w:r w:rsidRPr="00FD6900">
        <w:rPr>
          <w:sz w:val="28"/>
          <w:szCs w:val="28"/>
        </w:rPr>
        <w:t xml:space="preserve">луг», </w:t>
      </w:r>
      <w:hyperlink r:id="rId8" w:history="1">
        <w:r w:rsidRPr="00FD6900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FD6900">
        <w:rPr>
          <w:sz w:val="28"/>
          <w:szCs w:val="28"/>
        </w:rPr>
        <w:t xml:space="preserve"> Администрации В</w:t>
      </w:r>
      <w:r>
        <w:rPr>
          <w:sz w:val="28"/>
          <w:szCs w:val="28"/>
        </w:rPr>
        <w:t>алдайского муниципального района от 30.09.2011 № 1550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предоставления муниципальных услуг»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D6900" w:rsidRDefault="00FD6900" w:rsidP="00FD690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аренду без проведения торгов</w:t>
      </w:r>
      <w:r>
        <w:rPr>
          <w:sz w:val="28"/>
          <w:szCs w:val="28"/>
        </w:rPr>
        <w:t>»,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постановлением Администрации Валдайского муниципального района от 16.12.2015 № 1962:</w:t>
      </w:r>
    </w:p>
    <w:p w:rsidR="00FD6900" w:rsidRDefault="00FD6900" w:rsidP="00FD690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Заменить:</w:t>
      </w:r>
    </w:p>
    <w:p w:rsidR="00FD6900" w:rsidRDefault="00FD6900" w:rsidP="00FD690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1.1.1. В подпункте 1.3.1 пункта 1.3 цифры:</w:t>
      </w:r>
    </w:p>
    <w:p w:rsidR="00FD6900" w:rsidRDefault="00E54CFE" w:rsidP="00FD690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8(816-66) 2-24-00» на «8(816-66) 2-25-16/46-305»;</w:t>
      </w:r>
    </w:p>
    <w:p w:rsidR="00FD6900" w:rsidRDefault="00FD6900" w:rsidP="00FD69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«8(816-66) 2-13-05» на «8(816-66) 46-318»;</w:t>
      </w:r>
    </w:p>
    <w:p w:rsidR="00FD6900" w:rsidRDefault="00FD6900" w:rsidP="00FD69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подпунктах 2.6.2.1, 2.6.2.2, 2.6.2.3 пункта 2.6.2, подпунктах 2.6.3.1, 2.6.3.2, 2.6.3.3 пункта 2.6.3 слова «…ЕГРП…» на «…ЕГРН…»;</w:t>
      </w:r>
    </w:p>
    <w:p w:rsidR="00FD6900" w:rsidRDefault="00FD6900" w:rsidP="00FD690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1.1.3. В подпункте 2.6.2.3 слова «…в Едином государственном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ром прав на недвижимое имущество и сделок с ним (далее - ЕГРП);» на «…в Едином государственном реестре недвижимости (далее - ЕГРН);»;</w:t>
      </w:r>
    </w:p>
    <w:p w:rsidR="00FD6900" w:rsidRDefault="00FD6900" w:rsidP="00FD69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1.1.4. В подпунктах 2.6.3.1, 2.6.3.2, 2.6.3.3 пункта 2.6.3 слова «кадас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него;» на «выписка из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указанный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участок;»;</w:t>
      </w:r>
    </w:p>
    <w:p w:rsidR="00FD6900" w:rsidRDefault="00FD6900" w:rsidP="00FD6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подпункты 2.7.1, 2.7.3 пункта 2.7 в редакции:</w:t>
      </w:r>
    </w:p>
    <w:p w:rsidR="00FD6900" w:rsidRDefault="00FD6900" w:rsidP="00FD69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«2.7.1. В случае если </w:t>
      </w:r>
      <w:r>
        <w:rPr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t>не представлена самостоятельно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писка из Единого государственного реестра недвижимости об основных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рактеристиках и зарегистрированных правах на объект недвижимости на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занный земельный участок, то по каналам межведомственного взаимодейс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вия специалист Уполномоченного органа запрашивает её в Валдайском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 управления Федеральной службы государственной регистрации, кадастра и картографии, по Новгородской области (управление Росреестра по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области) (приложение 1 к административному регламенту).»;</w:t>
      </w:r>
    </w:p>
    <w:p w:rsidR="00FD6900" w:rsidRDefault="00FD6900" w:rsidP="00FD69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«2.7.3. В случае если заявителем не представлена самостоятельно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писка </w:t>
      </w:r>
      <w:r>
        <w:rPr>
          <w:sz w:val="28"/>
          <w:szCs w:val="28"/>
        </w:rPr>
        <w:t>из Единого государственного реестра недвижимости об основных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рактеристиках и зарегистрированных правах на объект недвижимости</w:t>
      </w:r>
      <w:r>
        <w:rPr>
          <w:bCs/>
          <w:sz w:val="28"/>
          <w:szCs w:val="28"/>
        </w:rPr>
        <w:t xml:space="preserve"> (зд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ние, строение, сооружение, находящиеся на приобретаемом земельном уч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стке)</w:t>
      </w:r>
      <w:r>
        <w:rPr>
          <w:sz w:val="28"/>
          <w:szCs w:val="28"/>
        </w:rPr>
        <w:t>, то по каналам межведомственного взаимодействия специалист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 запрашивает её в Валдайском отделе управления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службы государственной регистрации, кадастра и картографии, по Новгородской области (управление Росреестра по Новгородской области) (приложение 1 к административному регламенту).».</w:t>
      </w:r>
    </w:p>
    <w:p w:rsidR="00FD6900" w:rsidRDefault="00FD6900" w:rsidP="00FD690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3 в редакции:</w:t>
      </w:r>
    </w:p>
    <w:p w:rsidR="00FD6900" w:rsidRDefault="00FD6900" w:rsidP="00FD6900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«</w:t>
      </w:r>
      <w:r>
        <w:rPr>
          <w:rFonts w:eastAsia="Calibri"/>
          <w:sz w:val="24"/>
          <w:szCs w:val="24"/>
          <w:lang w:eastAsia="en-US"/>
        </w:rPr>
        <w:t>Приложение 3</w:t>
      </w:r>
    </w:p>
    <w:p w:rsidR="00FD6900" w:rsidRDefault="00FD6900" w:rsidP="00FD6900">
      <w:pPr>
        <w:autoSpaceDE w:val="0"/>
        <w:autoSpaceDN w:val="0"/>
        <w:adjustRightInd w:val="0"/>
        <w:ind w:left="4500"/>
        <w:jc w:val="right"/>
        <w:outlineLvl w:val="2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к административному регламенту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по предо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тавлению муниципальной услуги «</w:t>
      </w:r>
      <w:r>
        <w:rPr>
          <w:sz w:val="24"/>
          <w:szCs w:val="24"/>
          <w:lang w:eastAsia="en-US"/>
        </w:rPr>
        <w:t>Предоста</w:t>
      </w:r>
      <w:r>
        <w:rPr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>ление земельного участка, находящегося в м</w:t>
      </w:r>
      <w:r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>ниципальной собственности, в аренду без пр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ведения торгов</w:t>
      </w:r>
      <w:r>
        <w:rPr>
          <w:sz w:val="24"/>
          <w:szCs w:val="24"/>
        </w:rPr>
        <w:t>»</w:t>
      </w:r>
    </w:p>
    <w:p w:rsidR="00FD6900" w:rsidRDefault="00FD6900" w:rsidP="00FD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FD6900" w:rsidTr="00FD6900">
        <w:tc>
          <w:tcPr>
            <w:tcW w:w="4361" w:type="dxa"/>
          </w:tcPr>
          <w:p w:rsidR="00FD6900" w:rsidRDefault="00FD69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FD6900" w:rsidRDefault="00FD690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Главе ________________</w:t>
            </w:r>
          </w:p>
          <w:p w:rsidR="00FD6900" w:rsidRDefault="00FD690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D6900" w:rsidRDefault="00FD690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физического лица; полное наименование юридического лица, организационно-правовая форма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лица/) (далее - заявитель)</w:t>
      </w:r>
    </w:p>
    <w:p w:rsidR="00FD6900" w:rsidRDefault="00FD6900" w:rsidP="00FD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выдан)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6900" w:rsidRDefault="00FD6900" w:rsidP="00FD6900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</w:t>
      </w:r>
      <w:r>
        <w:rPr>
          <w:rFonts w:ascii="Times New Roman" w:hAnsi="Times New Roman" w:cs="Times New Roman"/>
          <w:b/>
          <w:sz w:val="24"/>
          <w:szCs w:val="24"/>
        </w:rPr>
        <w:t>аренда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Кадастровый номер земельного участка 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FD6900" w:rsidRDefault="00FD6900" w:rsidP="00FD6900">
      <w:pPr>
        <w:autoSpaceDE w:val="0"/>
        <w:autoSpaceDN w:val="0"/>
        <w:adjustRightInd w:val="0"/>
        <w:rPr>
          <w:sz w:val="24"/>
          <w:szCs w:val="24"/>
        </w:rPr>
      </w:pPr>
    </w:p>
    <w:p w:rsidR="00FD6900" w:rsidRDefault="00FD6900" w:rsidP="00FD6900">
      <w:pPr>
        <w:autoSpaceDE w:val="0"/>
        <w:autoSpaceDN w:val="0"/>
        <w:adjustRightInd w:val="0"/>
      </w:pPr>
    </w:p>
    <w:p w:rsidR="00FD6900" w:rsidRDefault="00FD6900" w:rsidP="00FD690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земельном участке расположены: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700"/>
        <w:gridCol w:w="3960"/>
        <w:gridCol w:w="2156"/>
      </w:tblGrid>
      <w:tr w:rsidR="00FD6900" w:rsidTr="00FD69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Правоустанавливающие документы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Площадь объекта</w:t>
            </w:r>
          </w:p>
        </w:tc>
      </w:tr>
      <w:tr w:rsidR="00FD6900" w:rsidTr="00FD69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D6900" w:rsidTr="00FD69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00" w:rsidRDefault="00FD690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D6900" w:rsidRDefault="00FD6900" w:rsidP="00FD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                                      (печать, подпись)</w:t>
      </w: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D6900" w:rsidRDefault="00FD6900" w:rsidP="00FD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FD6900" w:rsidRDefault="00FD6900" w:rsidP="00FD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9498" w:type="dxa"/>
        <w:tblInd w:w="108" w:type="dxa"/>
        <w:tblLayout w:type="fixed"/>
        <w:tblLook w:val="04A0"/>
      </w:tblPr>
      <w:tblGrid>
        <w:gridCol w:w="962"/>
        <w:gridCol w:w="5459"/>
        <w:gridCol w:w="1505"/>
        <w:gridCol w:w="1572"/>
      </w:tblGrid>
      <w:tr w:rsidR="00FD6900" w:rsidTr="00FD6900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D6900" w:rsidRDefault="00FD6900">
            <w:pPr>
              <w:jc w:val="both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D6900" w:rsidRDefault="00FD6900">
            <w:pPr>
              <w:jc w:val="both"/>
              <w:rPr>
                <w:sz w:val="24"/>
                <w:szCs w:val="24"/>
              </w:rPr>
            </w:pPr>
            <w: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экземпляров</w:t>
            </w:r>
          </w:p>
          <w:p w:rsidR="00FD6900" w:rsidRDefault="00FD6900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ли</w:t>
            </w:r>
            <w:r>
              <w:t>с</w:t>
            </w:r>
            <w:r>
              <w:t>тов</w:t>
            </w:r>
          </w:p>
          <w:p w:rsidR="00FD6900" w:rsidRDefault="00FD6900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</w:tr>
      <w:tr w:rsidR="00FD6900" w:rsidTr="00FD690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900" w:rsidRDefault="00FD6900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FD6900" w:rsidTr="00FD690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6900" w:rsidTr="00FD690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6900" w:rsidTr="00FD690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6900" w:rsidTr="00FD690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6900" w:rsidTr="00FD690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6900" w:rsidTr="00FD690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900" w:rsidRDefault="00FD69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дательством;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FD6900" w:rsidRDefault="00FD6900" w:rsidP="00FD69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</w:t>
      </w:r>
      <w:r w:rsidRPr="00FD6900">
        <w:rPr>
          <w:rFonts w:ascii="Times New Roman" w:hAnsi="Times New Roman" w:cs="Times New Roman"/>
          <w:sz w:val="24"/>
          <w:szCs w:val="24"/>
        </w:rPr>
        <w:t xml:space="preserve">Уголовным   </w:t>
      </w:r>
      <w:hyperlink r:id="rId9" w:history="1">
        <w:r w:rsidRPr="00FD6900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FD6900" w:rsidRDefault="00FD6900" w:rsidP="00FD6900">
      <w:pPr>
        <w:ind w:firstLine="539"/>
        <w:jc w:val="both"/>
        <w:rPr>
          <w:sz w:val="22"/>
          <w:szCs w:val="22"/>
        </w:rPr>
      </w:pPr>
    </w:p>
    <w:p w:rsidR="00FD6900" w:rsidRDefault="00FD6900" w:rsidP="00FD6900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 почтовый адрес, телефон, не возражаю против обработки Уполномоченным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ном Администрации Валдайского муниципального района (Новгородская область, г.Валдай, пр.Комсомольский, д.19/21), то есть совершение, в том числе, следующих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ствий: обработку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</w:t>
      </w:r>
      <w:r>
        <w:rPr>
          <w:sz w:val="24"/>
          <w:szCs w:val="24"/>
        </w:rPr>
        <w:lastRenderedPageBreak/>
        <w:t>данных), при этом общее описание вышеуказанных способов обработки данных привед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 в Федеральном законе от 27 июля 2006 года № 152-ФЗ «О персональных данных», а также на передачу такой информации третьим лицам, в случаях, установленных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документами вышестоящих органов и законодательством. Настоящее согласие действует с даты приема и на срок обработки и хранения документов в соответствии с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хивным законодательством и может быть отозвано Заявителем в любой момент по согл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шению сторон, путем письменного сообщения об указанном отзыве в произвольной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ме, в Уполномоченный орган Администрации Валдайского муниципального района, если иное не установлено законодательством Российской Федерации. </w:t>
      </w:r>
    </w:p>
    <w:p w:rsidR="00FD6900" w:rsidRDefault="00FD6900" w:rsidP="00FD6900">
      <w:pPr>
        <w:ind w:firstLine="540"/>
        <w:jc w:val="both"/>
      </w:pPr>
    </w:p>
    <w:p w:rsidR="00FD6900" w:rsidRDefault="00FD6900" w:rsidP="00FD6900">
      <w:pPr>
        <w:ind w:left="-181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рассмотрения заявления (нужное отметить):</w:t>
      </w:r>
    </w:p>
    <w:p w:rsidR="00FD6900" w:rsidRDefault="00FD6900" w:rsidP="00FD6900">
      <w:pPr>
        <w:ind w:left="-181"/>
        <w:jc w:val="both"/>
        <w:rPr>
          <w:sz w:val="24"/>
          <w:szCs w:val="24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3" type="#_x0000_t109" style="position:absolute;left:0;text-align:left;margin-left:-36pt;margin-top:7.25pt;width:54pt;height:18pt;z-index:251657216"/>
        </w:pict>
      </w:r>
    </w:p>
    <w:p w:rsidR="00FD6900" w:rsidRDefault="00FD6900" w:rsidP="00FD6900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прошу направить по почтовому адресу: ______________________________________ </w:t>
      </w:r>
    </w:p>
    <w:p w:rsidR="00FD6900" w:rsidRDefault="00FD6900" w:rsidP="00FD6900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D6900" w:rsidRDefault="00FD6900" w:rsidP="00FD6900">
      <w:pPr>
        <w:ind w:left="-181" w:firstLine="709"/>
        <w:jc w:val="both"/>
        <w:rPr>
          <w:sz w:val="24"/>
          <w:szCs w:val="24"/>
        </w:rPr>
      </w:pPr>
      <w:r>
        <w:pict>
          <v:rect id="_x0000_s1084" style="position:absolute;left:0;text-align:left;margin-left:-36pt;margin-top:10.85pt;width:54pt;height:18pt;z-index:251658240"/>
        </w:pict>
      </w:r>
    </w:p>
    <w:p w:rsidR="00FD6900" w:rsidRDefault="00FD6900" w:rsidP="00FD6900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-прошу направить по адресу электронной почты: _______________________________  </w:t>
      </w:r>
    </w:p>
    <w:p w:rsidR="00FD6900" w:rsidRDefault="00FD6900" w:rsidP="00FD6900">
      <w:pPr>
        <w:ind w:left="-181" w:firstLine="709"/>
        <w:jc w:val="both"/>
        <w:rPr>
          <w:sz w:val="24"/>
          <w:szCs w:val="24"/>
        </w:rPr>
      </w:pPr>
      <w:r>
        <w:pict>
          <v:rect id="_x0000_s1085" style="position:absolute;left:0;text-align:left;margin-left:-36pt;margin-top:.65pt;width:54pt;height:18pt;z-index:251659264"/>
        </w:pict>
      </w:r>
      <w:r>
        <w:rPr>
          <w:sz w:val="24"/>
          <w:szCs w:val="24"/>
        </w:rPr>
        <w:t>-получу лично.</w:t>
      </w:r>
    </w:p>
    <w:p w:rsidR="00FD6900" w:rsidRDefault="00FD6900" w:rsidP="00FD6900">
      <w:pPr>
        <w:rPr>
          <w:b/>
          <w:sz w:val="24"/>
          <w:szCs w:val="24"/>
        </w:rPr>
      </w:pPr>
    </w:p>
    <w:p w:rsidR="00FD6900" w:rsidRDefault="00FD6900" w:rsidP="00FD6900">
      <w:pPr>
        <w:ind w:firstLine="540"/>
        <w:jc w:val="both"/>
        <w:rPr>
          <w:sz w:val="24"/>
          <w:szCs w:val="24"/>
        </w:rPr>
      </w:pPr>
    </w:p>
    <w:p w:rsidR="00FD6900" w:rsidRDefault="00FD6900" w:rsidP="00FD69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                                                                      (подпись)».</w:t>
      </w:r>
    </w:p>
    <w:p w:rsidR="00FD6900" w:rsidRDefault="00FD6900" w:rsidP="00FD69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84" w:rsidRPr="00FD6900" w:rsidRDefault="00FD6900" w:rsidP="00FD69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D6900" w:rsidRPr="00E01984" w:rsidRDefault="00FD6900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DC" w:rsidRDefault="005E62DC">
      <w:r>
        <w:separator/>
      </w:r>
    </w:p>
  </w:endnote>
  <w:endnote w:type="continuationSeparator" w:id="0">
    <w:p w:rsidR="005E62DC" w:rsidRDefault="005E6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DC" w:rsidRDefault="005E62DC">
      <w:r>
        <w:separator/>
      </w:r>
    </w:p>
  </w:footnote>
  <w:footnote w:type="continuationSeparator" w:id="0">
    <w:p w:rsidR="005E62DC" w:rsidRDefault="005E6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00" w:rsidRDefault="00FD6900">
    <w:pPr>
      <w:pStyle w:val="a3"/>
      <w:jc w:val="center"/>
    </w:pPr>
    <w:fldSimple w:instr=" PAGE   \* MERGEFORMAT ">
      <w:r w:rsidR="00981925">
        <w:rPr>
          <w:noProof/>
        </w:rPr>
        <w:t>4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23BE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1C21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2DC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1925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4CFE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6900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D6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9497</CharactersWithSpaces>
  <SharedDoc>false</SharedDoc>
  <HLinks>
    <vt:vector size="18" baseType="variant"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2018-01-24T07:52:00Z</cp:lastPrinted>
  <dcterms:created xsi:type="dcterms:W3CDTF">2018-01-25T08:19:00Z</dcterms:created>
  <dcterms:modified xsi:type="dcterms:W3CDTF">2018-01-25T08:19:00Z</dcterms:modified>
</cp:coreProperties>
</file>